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89F79" w14:textId="28B49068" w:rsidR="00265649" w:rsidRPr="00DD1045" w:rsidRDefault="00265649"/>
    <w:p w14:paraId="30AF19F3" w14:textId="77777777" w:rsidR="00265649" w:rsidRPr="00DD1045" w:rsidRDefault="00265649"/>
    <w:p w14:paraId="4CDB4B6A" w14:textId="40683A32" w:rsidR="006F2961" w:rsidRDefault="006F2961"/>
    <w:p w14:paraId="5FF5BCB5" w14:textId="07ED42B4" w:rsidR="00265649" w:rsidRDefault="00265649"/>
    <w:p w14:paraId="43050F53" w14:textId="716C20DF" w:rsidR="006F2961" w:rsidRPr="00DD1045" w:rsidRDefault="006F2961"/>
    <w:p w14:paraId="71E82C88" w14:textId="77777777" w:rsidR="00265649" w:rsidRPr="00DD1045" w:rsidRDefault="00265649"/>
    <w:p w14:paraId="142C558C" w14:textId="77777777" w:rsidR="00265649" w:rsidRPr="00DD1045" w:rsidRDefault="00265649"/>
    <w:p w14:paraId="71FBF072" w14:textId="77777777" w:rsidR="00265649" w:rsidRPr="00DD1045" w:rsidRDefault="00265649"/>
    <w:p w14:paraId="7BA28AF8" w14:textId="77777777" w:rsidR="00265649" w:rsidRPr="00DD1045" w:rsidRDefault="00265649"/>
    <w:p w14:paraId="7652F9D6" w14:textId="77777777" w:rsidR="00265649" w:rsidRPr="00DD1045" w:rsidRDefault="00265649"/>
    <w:p w14:paraId="2F91588F" w14:textId="77777777" w:rsidR="00265649" w:rsidRPr="00DD1045" w:rsidRDefault="00265649"/>
    <w:p w14:paraId="173C8FD7" w14:textId="24021CDD" w:rsidR="00265649" w:rsidRPr="00DD1045" w:rsidRDefault="00265649"/>
    <w:p w14:paraId="4A5BECF7" w14:textId="758B907B" w:rsidR="00265649" w:rsidRPr="00DD1045" w:rsidRDefault="00265649">
      <w:r w:rsidRPr="00DD1045">
        <w:rPr>
          <w:noProof/>
        </w:rPr>
        <w:drawing>
          <wp:anchor distT="0" distB="0" distL="114300" distR="114300" simplePos="0" relativeHeight="251658240" behindDoc="0" locked="0" layoutInCell="1" allowOverlap="1" wp14:anchorId="06386580" wp14:editId="2259ED7F">
            <wp:simplePos x="0" y="0"/>
            <wp:positionH relativeFrom="margin">
              <wp:posOffset>1484630</wp:posOffset>
            </wp:positionH>
            <wp:positionV relativeFrom="margin">
              <wp:posOffset>3536315</wp:posOffset>
            </wp:positionV>
            <wp:extent cx="2755900" cy="816610"/>
            <wp:effectExtent l="0" t="0" r="6350" b="2540"/>
            <wp:wrapSquare wrapText="bothSides"/>
            <wp:docPr id="74287753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877533" name="Picture 1" descr="A black and white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5900" cy="816610"/>
                    </a:xfrm>
                    <a:prstGeom prst="rect">
                      <a:avLst/>
                    </a:prstGeom>
                    <a:noFill/>
                    <a:ln>
                      <a:noFill/>
                    </a:ln>
                  </pic:spPr>
                </pic:pic>
              </a:graphicData>
            </a:graphic>
          </wp:anchor>
        </w:drawing>
      </w:r>
    </w:p>
    <w:p w14:paraId="36342AB0" w14:textId="7C8E2E1A" w:rsidR="00265649" w:rsidRPr="00DD1045" w:rsidRDefault="00265649"/>
    <w:p w14:paraId="3C9AA303" w14:textId="44C4EAF6" w:rsidR="00265649" w:rsidRPr="00DD1045" w:rsidRDefault="00265649" w:rsidP="00265649">
      <w:pPr>
        <w:pStyle w:val="NormalWeb"/>
        <w:jc w:val="center"/>
      </w:pPr>
    </w:p>
    <w:p w14:paraId="2FBB16CA" w14:textId="5519ACD5" w:rsidR="00265649" w:rsidRPr="00DD1045" w:rsidRDefault="00265649"/>
    <w:p w14:paraId="47AB2119" w14:textId="77777777" w:rsidR="000E1D7B" w:rsidRDefault="000E1D7B" w:rsidP="00265649">
      <w:pPr>
        <w:jc w:val="center"/>
        <w:rPr>
          <w:b/>
          <w:bCs/>
          <w:sz w:val="36"/>
          <w:szCs w:val="36"/>
        </w:rPr>
      </w:pPr>
    </w:p>
    <w:p w14:paraId="45870C1A" w14:textId="02851CB6" w:rsidR="00265649" w:rsidRPr="00DD1045" w:rsidRDefault="00265649" w:rsidP="00265649">
      <w:pPr>
        <w:jc w:val="center"/>
        <w:rPr>
          <w:b/>
          <w:bCs/>
          <w:sz w:val="36"/>
          <w:szCs w:val="36"/>
        </w:rPr>
      </w:pPr>
      <w:r w:rsidRPr="00DD1045">
        <w:rPr>
          <w:b/>
          <w:bCs/>
          <w:sz w:val="36"/>
          <w:szCs w:val="36"/>
        </w:rPr>
        <w:t>Annual Report</w:t>
      </w:r>
    </w:p>
    <w:p w14:paraId="4BB25ED7" w14:textId="78637CB2" w:rsidR="00265649" w:rsidRPr="00DD1045" w:rsidRDefault="00265649" w:rsidP="00265649">
      <w:pPr>
        <w:jc w:val="center"/>
        <w:rPr>
          <w:sz w:val="32"/>
          <w:szCs w:val="32"/>
        </w:rPr>
      </w:pPr>
      <w:r w:rsidRPr="00DD1045">
        <w:rPr>
          <w:sz w:val="32"/>
          <w:szCs w:val="32"/>
        </w:rPr>
        <w:t xml:space="preserve">2023 – 2024 </w:t>
      </w:r>
    </w:p>
    <w:p w14:paraId="3EA15458" w14:textId="77777777" w:rsidR="00265649" w:rsidRPr="00DD1045" w:rsidRDefault="00265649">
      <w:r w:rsidRPr="00DD1045">
        <w:br w:type="page"/>
      </w:r>
    </w:p>
    <w:p w14:paraId="33EFDB8A" w14:textId="77777777" w:rsidR="00265649" w:rsidRPr="00DD1045" w:rsidRDefault="00265649"/>
    <w:p w14:paraId="2E83A1A0" w14:textId="77777777" w:rsidR="00265649" w:rsidRPr="00DD1045" w:rsidRDefault="00265649"/>
    <w:p w14:paraId="400411F2" w14:textId="77777777" w:rsidR="00265649" w:rsidRPr="00DD1045" w:rsidRDefault="00265649"/>
    <w:p w14:paraId="3B6664C2" w14:textId="77777777" w:rsidR="00265649" w:rsidRPr="00DD1045" w:rsidRDefault="00265649"/>
    <w:p w14:paraId="06EDD39F" w14:textId="77777777" w:rsidR="00265649" w:rsidRPr="00DD1045" w:rsidRDefault="00265649"/>
    <w:p w14:paraId="57DAD554" w14:textId="77777777" w:rsidR="00265649" w:rsidRPr="00DD1045" w:rsidRDefault="00265649"/>
    <w:p w14:paraId="30BF4E13" w14:textId="77777777" w:rsidR="00265649" w:rsidRPr="00DD1045" w:rsidRDefault="00265649"/>
    <w:p w14:paraId="771F14B2" w14:textId="77777777" w:rsidR="00265649" w:rsidRPr="00DD1045" w:rsidRDefault="00265649"/>
    <w:p w14:paraId="41A36276" w14:textId="77777777" w:rsidR="00265649" w:rsidRPr="00DD1045" w:rsidRDefault="00265649"/>
    <w:p w14:paraId="4433C9E0" w14:textId="77777777" w:rsidR="00265649" w:rsidRPr="00DD1045" w:rsidRDefault="00265649"/>
    <w:p w14:paraId="1C271392" w14:textId="77777777" w:rsidR="00265649" w:rsidRPr="00DD1045" w:rsidRDefault="00265649"/>
    <w:p w14:paraId="3C6B2573" w14:textId="77777777" w:rsidR="00265649" w:rsidRPr="00DD1045" w:rsidRDefault="00265649"/>
    <w:p w14:paraId="104DFC55" w14:textId="77777777" w:rsidR="00265649" w:rsidRPr="00DD1045" w:rsidRDefault="00265649"/>
    <w:p w14:paraId="221054C3" w14:textId="77777777" w:rsidR="00265649" w:rsidRPr="00DD1045" w:rsidRDefault="00265649"/>
    <w:p w14:paraId="2DDDC652" w14:textId="77777777" w:rsidR="00265649" w:rsidRPr="00DD1045" w:rsidRDefault="00265649"/>
    <w:p w14:paraId="23744571" w14:textId="77777777" w:rsidR="00265649" w:rsidRPr="00DD1045" w:rsidRDefault="00265649"/>
    <w:p w14:paraId="71EE1D1D" w14:textId="77777777" w:rsidR="00265649" w:rsidRPr="00DD1045" w:rsidRDefault="00265649"/>
    <w:p w14:paraId="63997BCA" w14:textId="77777777" w:rsidR="00265649" w:rsidRPr="00DD1045" w:rsidRDefault="00265649"/>
    <w:p w14:paraId="2925CCD2" w14:textId="77777777" w:rsidR="00265649" w:rsidRPr="00DD1045" w:rsidRDefault="00265649"/>
    <w:p w14:paraId="7500436E" w14:textId="77777777" w:rsidR="00265649" w:rsidRPr="00DD1045" w:rsidRDefault="00265649"/>
    <w:p w14:paraId="47D94065" w14:textId="77777777" w:rsidR="002E4A02" w:rsidRPr="00DD1045" w:rsidRDefault="002E4A02"/>
    <w:p w14:paraId="273C9976" w14:textId="77777777" w:rsidR="002E4A02" w:rsidRPr="00DD1045" w:rsidRDefault="002E4A02"/>
    <w:p w14:paraId="2F6E80A2" w14:textId="77777777" w:rsidR="002E4A02" w:rsidRPr="00DD1045" w:rsidRDefault="002E4A02"/>
    <w:p w14:paraId="4D7B2E67" w14:textId="77777777" w:rsidR="002E4A02" w:rsidRPr="00DD1045" w:rsidRDefault="002E4A02"/>
    <w:p w14:paraId="5F0DF8E6" w14:textId="77777777" w:rsidR="00265649" w:rsidRPr="00DD1045" w:rsidRDefault="00265649"/>
    <w:p w14:paraId="68128536" w14:textId="77777777" w:rsidR="00A579E1" w:rsidRDefault="00A579E1"/>
    <w:p w14:paraId="2D353D6A" w14:textId="77777777" w:rsidR="00A579E1" w:rsidRDefault="00A579E1"/>
    <w:p w14:paraId="08C11393" w14:textId="77777777" w:rsidR="00A579E1" w:rsidRPr="00DD1045" w:rsidRDefault="00A579E1"/>
    <w:p w14:paraId="7F198E8E" w14:textId="77777777" w:rsidR="00265649" w:rsidRPr="00DD1045" w:rsidRDefault="00265649"/>
    <w:p w14:paraId="24CAE5B1" w14:textId="77777777" w:rsidR="00265649" w:rsidRPr="00DD1045" w:rsidRDefault="00265649"/>
    <w:p w14:paraId="201521F7" w14:textId="2DC49CD2" w:rsidR="00265649" w:rsidRPr="00DD1045" w:rsidRDefault="00265649" w:rsidP="00265649">
      <w:pPr>
        <w:pStyle w:val="ARSub-heading1"/>
        <w:rPr>
          <w:rFonts w:ascii="Source Sans Pro" w:hAnsi="Source Sans Pro"/>
        </w:rPr>
      </w:pPr>
      <w:bookmarkStart w:id="0" w:name="_Toc172009611"/>
      <w:r w:rsidRPr="00DD1045">
        <w:t>Acknowledgement of country</w:t>
      </w:r>
      <w:bookmarkEnd w:id="0"/>
    </w:p>
    <w:p w14:paraId="4B438633" w14:textId="2CDC1EA7" w:rsidR="002E4A02" w:rsidRPr="00DD1045" w:rsidRDefault="002E4A02" w:rsidP="002E4A02">
      <w:r w:rsidRPr="00DD1045">
        <w:t>WorkCover Queensland deeply acknowledges and pays respect to all Aboriginal and Torres Strait Islander peoples, and their Elders past and present.</w:t>
      </w:r>
    </w:p>
    <w:p w14:paraId="2C89DD26" w14:textId="168814F7" w:rsidR="00265649" w:rsidRDefault="002E4A02">
      <w:r w:rsidRPr="00DD1045">
        <w:t>We thank the Traditional Custodians throughout Australia for their ongoing custodianship of land, waters, culture and community.</w:t>
      </w:r>
    </w:p>
    <w:p w14:paraId="6E82162D" w14:textId="77777777" w:rsidR="00495C9D" w:rsidRDefault="00495C9D" w:rsidP="002E4A02">
      <w:pPr>
        <w:pStyle w:val="ARMainTitle"/>
        <w:pBdr>
          <w:bottom w:val="single" w:sz="4" w:space="1" w:color="auto"/>
        </w:pBdr>
        <w:sectPr w:rsidR="00495C9D" w:rsidSect="002E1EC2">
          <w:footerReference w:type="even" r:id="rId12"/>
          <w:footerReference w:type="default" r:id="rId13"/>
          <w:pgSz w:w="11906" w:h="16838"/>
          <w:pgMar w:top="1440" w:right="1440" w:bottom="1440" w:left="1440" w:header="708" w:footer="708" w:gutter="0"/>
          <w:cols w:space="708"/>
          <w:titlePg/>
          <w:docGrid w:linePitch="360"/>
        </w:sectPr>
      </w:pPr>
    </w:p>
    <w:p w14:paraId="5760AB56" w14:textId="5304D75B" w:rsidR="00265649" w:rsidRPr="00DD1045" w:rsidRDefault="457409E6" w:rsidP="2C246FFE">
      <w:pPr>
        <w:pStyle w:val="ARMainTitle"/>
        <w:pBdr>
          <w:bottom w:val="single" w:sz="4" w:space="1" w:color="auto"/>
        </w:pBdr>
      </w:pPr>
      <w:bookmarkStart w:id="1" w:name="_Toc172009612"/>
      <w:r>
        <w:lastRenderedPageBreak/>
        <w:t>Contents page</w:t>
      </w:r>
      <w:bookmarkEnd w:id="1"/>
    </w:p>
    <w:p w14:paraId="09EB6603" w14:textId="77777777" w:rsidR="002B7388" w:rsidRPr="00DD1045" w:rsidRDefault="002B7388" w:rsidP="002E4A02"/>
    <w:sdt>
      <w:sdtPr>
        <w:rPr>
          <w:rFonts w:ascii="Source Sans Pro" w:eastAsiaTheme="minorEastAsia" w:hAnsi="Source Sans Pro" w:cstheme="minorBidi"/>
          <w:color w:val="auto"/>
          <w:kern w:val="2"/>
          <w:sz w:val="20"/>
          <w:szCs w:val="20"/>
          <w:lang w:val="en-AU"/>
          <w14:ligatures w14:val="standardContextual"/>
        </w:rPr>
        <w:id w:val="-680119399"/>
        <w:docPartObj>
          <w:docPartGallery w:val="Table of Contents"/>
          <w:docPartUnique/>
        </w:docPartObj>
      </w:sdtPr>
      <w:sdtContent>
        <w:p w14:paraId="5E4A8BD4" w14:textId="28FC54F3" w:rsidR="000276A7" w:rsidRPr="00B65EC3" w:rsidRDefault="00B65EC3">
          <w:pPr>
            <w:pStyle w:val="TOCHeading"/>
            <w:rPr>
              <w:rFonts w:ascii="Source Sans Pro" w:hAnsi="Source Sans Pro"/>
              <w:color w:val="FFFFFF" w:themeColor="background1"/>
              <w:sz w:val="2"/>
              <w:szCs w:val="2"/>
            </w:rPr>
          </w:pPr>
          <w:r w:rsidRPr="00B65EC3">
            <w:rPr>
              <w:rFonts w:ascii="Source Sans Pro" w:eastAsiaTheme="minorHAnsi" w:hAnsi="Source Sans Pro" w:cstheme="minorBidi"/>
              <w:color w:val="FFFFFF" w:themeColor="background1"/>
              <w:kern w:val="2"/>
              <w:sz w:val="2"/>
              <w:szCs w:val="2"/>
              <w:lang w:val="en-AU"/>
              <w14:ligatures w14:val="standardContextual"/>
            </w:rPr>
            <w:t>d</w:t>
          </w:r>
        </w:p>
        <w:p w14:paraId="461AB18B" w14:textId="4D754986" w:rsidR="004B119C" w:rsidRDefault="004B119C">
          <w:pPr>
            <w:pStyle w:val="TOC1"/>
            <w:tabs>
              <w:tab w:val="right" w:leader="dot" w:pos="9016"/>
            </w:tabs>
            <w:rPr>
              <w:rFonts w:asciiTheme="minorHAnsi" w:eastAsiaTheme="minorEastAsia" w:hAnsiTheme="minorHAnsi"/>
              <w:noProof/>
              <w:sz w:val="24"/>
              <w:szCs w:val="24"/>
              <w:lang w:eastAsia="en-AU"/>
            </w:rPr>
          </w:pPr>
          <w:r>
            <w:rPr>
              <w:sz w:val="18"/>
              <w:szCs w:val="18"/>
            </w:rPr>
            <w:fldChar w:fldCharType="begin"/>
          </w:r>
          <w:r>
            <w:rPr>
              <w:sz w:val="18"/>
              <w:szCs w:val="18"/>
            </w:rPr>
            <w:instrText xml:space="preserve"> TOC \o "1-1" \h \z \u </w:instrText>
          </w:r>
          <w:r>
            <w:rPr>
              <w:sz w:val="18"/>
              <w:szCs w:val="18"/>
            </w:rPr>
            <w:fldChar w:fldCharType="separate"/>
          </w:r>
          <w:hyperlink w:anchor="_Toc172009613" w:history="1">
            <w:r w:rsidRPr="00043C4A">
              <w:rPr>
                <w:rStyle w:val="Hyperlink"/>
                <w:noProof/>
              </w:rPr>
              <w:t>About this report</w:t>
            </w:r>
            <w:r>
              <w:rPr>
                <w:noProof/>
                <w:webHidden/>
              </w:rPr>
              <w:tab/>
            </w:r>
            <w:r>
              <w:rPr>
                <w:noProof/>
                <w:webHidden/>
              </w:rPr>
              <w:fldChar w:fldCharType="begin"/>
            </w:r>
            <w:r>
              <w:rPr>
                <w:noProof/>
                <w:webHidden/>
              </w:rPr>
              <w:instrText xml:space="preserve"> PAGEREF _Toc172009613 \h </w:instrText>
            </w:r>
            <w:r>
              <w:rPr>
                <w:noProof/>
                <w:webHidden/>
              </w:rPr>
            </w:r>
            <w:r>
              <w:rPr>
                <w:noProof/>
                <w:webHidden/>
              </w:rPr>
              <w:fldChar w:fldCharType="separate"/>
            </w:r>
            <w:r w:rsidR="00BC5836">
              <w:rPr>
                <w:noProof/>
                <w:webHidden/>
              </w:rPr>
              <w:t>4</w:t>
            </w:r>
            <w:r>
              <w:rPr>
                <w:noProof/>
                <w:webHidden/>
              </w:rPr>
              <w:fldChar w:fldCharType="end"/>
            </w:r>
          </w:hyperlink>
        </w:p>
        <w:p w14:paraId="31E4A4ED" w14:textId="16C26FB0" w:rsidR="004B119C" w:rsidRDefault="00000000">
          <w:pPr>
            <w:pStyle w:val="TOC1"/>
            <w:tabs>
              <w:tab w:val="right" w:leader="dot" w:pos="9016"/>
            </w:tabs>
            <w:rPr>
              <w:rFonts w:asciiTheme="minorHAnsi" w:eastAsiaTheme="minorEastAsia" w:hAnsiTheme="minorHAnsi"/>
              <w:noProof/>
              <w:sz w:val="24"/>
              <w:szCs w:val="24"/>
              <w:lang w:eastAsia="en-AU"/>
            </w:rPr>
          </w:pPr>
          <w:hyperlink w:anchor="_Toc172009616" w:history="1">
            <w:r w:rsidR="004B119C" w:rsidRPr="00043C4A">
              <w:rPr>
                <w:rStyle w:val="Hyperlink"/>
                <w:noProof/>
              </w:rPr>
              <w:t>Letter of compliance</w:t>
            </w:r>
            <w:r w:rsidR="004B119C">
              <w:rPr>
                <w:noProof/>
                <w:webHidden/>
              </w:rPr>
              <w:tab/>
            </w:r>
            <w:r w:rsidR="004B119C">
              <w:rPr>
                <w:noProof/>
                <w:webHidden/>
              </w:rPr>
              <w:fldChar w:fldCharType="begin"/>
            </w:r>
            <w:r w:rsidR="004B119C">
              <w:rPr>
                <w:noProof/>
                <w:webHidden/>
              </w:rPr>
              <w:instrText xml:space="preserve"> PAGEREF _Toc172009616 \h </w:instrText>
            </w:r>
            <w:r w:rsidR="004B119C">
              <w:rPr>
                <w:noProof/>
                <w:webHidden/>
              </w:rPr>
            </w:r>
            <w:r w:rsidR="004B119C">
              <w:rPr>
                <w:noProof/>
                <w:webHidden/>
              </w:rPr>
              <w:fldChar w:fldCharType="separate"/>
            </w:r>
            <w:r w:rsidR="00BC5836">
              <w:rPr>
                <w:noProof/>
                <w:webHidden/>
              </w:rPr>
              <w:t>5</w:t>
            </w:r>
            <w:r w:rsidR="004B119C">
              <w:rPr>
                <w:noProof/>
                <w:webHidden/>
              </w:rPr>
              <w:fldChar w:fldCharType="end"/>
            </w:r>
          </w:hyperlink>
        </w:p>
        <w:p w14:paraId="2B97D77D" w14:textId="1BC5BB8B" w:rsidR="004B119C" w:rsidRDefault="00000000">
          <w:pPr>
            <w:pStyle w:val="TOC1"/>
            <w:tabs>
              <w:tab w:val="right" w:leader="dot" w:pos="9016"/>
            </w:tabs>
            <w:rPr>
              <w:rFonts w:asciiTheme="minorHAnsi" w:eastAsiaTheme="minorEastAsia" w:hAnsiTheme="minorHAnsi"/>
              <w:noProof/>
              <w:sz w:val="24"/>
              <w:szCs w:val="24"/>
              <w:lang w:eastAsia="en-AU"/>
            </w:rPr>
          </w:pPr>
          <w:hyperlink w:anchor="_Toc172009617" w:history="1">
            <w:r w:rsidR="004B119C" w:rsidRPr="00043C4A">
              <w:rPr>
                <w:rStyle w:val="Hyperlink"/>
                <w:noProof/>
              </w:rPr>
              <w:t>About WorkCover Queensland</w:t>
            </w:r>
            <w:r w:rsidR="004B119C">
              <w:rPr>
                <w:noProof/>
                <w:webHidden/>
              </w:rPr>
              <w:tab/>
            </w:r>
            <w:r w:rsidR="004B119C">
              <w:rPr>
                <w:noProof/>
                <w:webHidden/>
              </w:rPr>
              <w:fldChar w:fldCharType="begin"/>
            </w:r>
            <w:r w:rsidR="004B119C">
              <w:rPr>
                <w:noProof/>
                <w:webHidden/>
              </w:rPr>
              <w:instrText xml:space="preserve"> PAGEREF _Toc172009617 \h </w:instrText>
            </w:r>
            <w:r w:rsidR="004B119C">
              <w:rPr>
                <w:noProof/>
                <w:webHidden/>
              </w:rPr>
            </w:r>
            <w:r w:rsidR="004B119C">
              <w:rPr>
                <w:noProof/>
                <w:webHidden/>
              </w:rPr>
              <w:fldChar w:fldCharType="separate"/>
            </w:r>
            <w:r w:rsidR="00BC5836">
              <w:rPr>
                <w:noProof/>
                <w:webHidden/>
              </w:rPr>
              <w:t>6</w:t>
            </w:r>
            <w:r w:rsidR="004B119C">
              <w:rPr>
                <w:noProof/>
                <w:webHidden/>
              </w:rPr>
              <w:fldChar w:fldCharType="end"/>
            </w:r>
          </w:hyperlink>
        </w:p>
        <w:p w14:paraId="6B00029E" w14:textId="235C10E1" w:rsidR="004B119C" w:rsidRDefault="00000000">
          <w:pPr>
            <w:pStyle w:val="TOC1"/>
            <w:tabs>
              <w:tab w:val="right" w:leader="dot" w:pos="9016"/>
            </w:tabs>
            <w:rPr>
              <w:rFonts w:asciiTheme="minorHAnsi" w:eastAsiaTheme="minorEastAsia" w:hAnsiTheme="minorHAnsi"/>
              <w:noProof/>
              <w:sz w:val="24"/>
              <w:szCs w:val="24"/>
              <w:lang w:eastAsia="en-AU"/>
            </w:rPr>
          </w:pPr>
          <w:hyperlink w:anchor="_Toc172009630" w:history="1">
            <w:r w:rsidR="004B119C" w:rsidRPr="00043C4A">
              <w:rPr>
                <w:rStyle w:val="Hyperlink"/>
                <w:noProof/>
              </w:rPr>
              <w:t>Chair and CEO report</w:t>
            </w:r>
            <w:r w:rsidR="004B119C">
              <w:rPr>
                <w:noProof/>
                <w:webHidden/>
              </w:rPr>
              <w:tab/>
            </w:r>
            <w:r w:rsidR="004B119C">
              <w:rPr>
                <w:noProof/>
                <w:webHidden/>
              </w:rPr>
              <w:fldChar w:fldCharType="begin"/>
            </w:r>
            <w:r w:rsidR="004B119C">
              <w:rPr>
                <w:noProof/>
                <w:webHidden/>
              </w:rPr>
              <w:instrText xml:space="preserve"> PAGEREF _Toc172009630 \h </w:instrText>
            </w:r>
            <w:r w:rsidR="004B119C">
              <w:rPr>
                <w:noProof/>
                <w:webHidden/>
              </w:rPr>
            </w:r>
            <w:r w:rsidR="004B119C">
              <w:rPr>
                <w:noProof/>
                <w:webHidden/>
              </w:rPr>
              <w:fldChar w:fldCharType="separate"/>
            </w:r>
            <w:r w:rsidR="00BC5836">
              <w:rPr>
                <w:noProof/>
                <w:webHidden/>
              </w:rPr>
              <w:t>10</w:t>
            </w:r>
            <w:r w:rsidR="004B119C">
              <w:rPr>
                <w:noProof/>
                <w:webHidden/>
              </w:rPr>
              <w:fldChar w:fldCharType="end"/>
            </w:r>
          </w:hyperlink>
        </w:p>
        <w:p w14:paraId="7AFFA2CB" w14:textId="390DFDD0" w:rsidR="004B119C" w:rsidRDefault="00000000">
          <w:pPr>
            <w:pStyle w:val="TOC1"/>
            <w:tabs>
              <w:tab w:val="right" w:leader="dot" w:pos="9016"/>
            </w:tabs>
            <w:rPr>
              <w:rFonts w:asciiTheme="minorHAnsi" w:eastAsiaTheme="minorEastAsia" w:hAnsiTheme="minorHAnsi"/>
              <w:noProof/>
              <w:sz w:val="24"/>
              <w:szCs w:val="24"/>
              <w:lang w:eastAsia="en-AU"/>
            </w:rPr>
          </w:pPr>
          <w:hyperlink w:anchor="_Toc172009639" w:history="1">
            <w:r w:rsidR="004B119C" w:rsidRPr="00043C4A">
              <w:rPr>
                <w:rStyle w:val="Hyperlink"/>
                <w:noProof/>
              </w:rPr>
              <w:t>Our Board of Directors</w:t>
            </w:r>
            <w:r w:rsidR="004B119C">
              <w:rPr>
                <w:noProof/>
                <w:webHidden/>
              </w:rPr>
              <w:tab/>
            </w:r>
            <w:r w:rsidR="004B119C">
              <w:rPr>
                <w:noProof/>
                <w:webHidden/>
              </w:rPr>
              <w:fldChar w:fldCharType="begin"/>
            </w:r>
            <w:r w:rsidR="004B119C">
              <w:rPr>
                <w:noProof/>
                <w:webHidden/>
              </w:rPr>
              <w:instrText xml:space="preserve"> PAGEREF _Toc172009639 \h </w:instrText>
            </w:r>
            <w:r w:rsidR="004B119C">
              <w:rPr>
                <w:noProof/>
                <w:webHidden/>
              </w:rPr>
            </w:r>
            <w:r w:rsidR="004B119C">
              <w:rPr>
                <w:noProof/>
                <w:webHidden/>
              </w:rPr>
              <w:fldChar w:fldCharType="separate"/>
            </w:r>
            <w:r w:rsidR="00BC5836">
              <w:rPr>
                <w:noProof/>
                <w:webHidden/>
              </w:rPr>
              <w:t>13</w:t>
            </w:r>
            <w:r w:rsidR="004B119C">
              <w:rPr>
                <w:noProof/>
                <w:webHidden/>
              </w:rPr>
              <w:fldChar w:fldCharType="end"/>
            </w:r>
          </w:hyperlink>
        </w:p>
        <w:p w14:paraId="151783FF" w14:textId="365DF0B3" w:rsidR="004B119C" w:rsidRDefault="00000000">
          <w:pPr>
            <w:pStyle w:val="TOC1"/>
            <w:tabs>
              <w:tab w:val="right" w:leader="dot" w:pos="9016"/>
            </w:tabs>
            <w:rPr>
              <w:rFonts w:asciiTheme="minorHAnsi" w:eastAsiaTheme="minorEastAsia" w:hAnsiTheme="minorHAnsi"/>
              <w:noProof/>
              <w:sz w:val="24"/>
              <w:szCs w:val="24"/>
              <w:lang w:eastAsia="en-AU"/>
            </w:rPr>
          </w:pPr>
          <w:hyperlink w:anchor="_Toc172009649" w:history="1">
            <w:r w:rsidR="004B119C" w:rsidRPr="00043C4A">
              <w:rPr>
                <w:rStyle w:val="Hyperlink"/>
                <w:noProof/>
              </w:rPr>
              <w:t>Executive Leadership Team</w:t>
            </w:r>
            <w:r w:rsidR="004B119C">
              <w:rPr>
                <w:noProof/>
                <w:webHidden/>
              </w:rPr>
              <w:tab/>
            </w:r>
            <w:r w:rsidR="004B119C">
              <w:rPr>
                <w:noProof/>
                <w:webHidden/>
              </w:rPr>
              <w:fldChar w:fldCharType="begin"/>
            </w:r>
            <w:r w:rsidR="004B119C">
              <w:rPr>
                <w:noProof/>
                <w:webHidden/>
              </w:rPr>
              <w:instrText xml:space="preserve"> PAGEREF _Toc172009649 \h </w:instrText>
            </w:r>
            <w:r w:rsidR="004B119C">
              <w:rPr>
                <w:noProof/>
                <w:webHidden/>
              </w:rPr>
            </w:r>
            <w:r w:rsidR="004B119C">
              <w:rPr>
                <w:noProof/>
                <w:webHidden/>
              </w:rPr>
              <w:fldChar w:fldCharType="separate"/>
            </w:r>
            <w:r w:rsidR="00BC5836">
              <w:rPr>
                <w:noProof/>
                <w:webHidden/>
              </w:rPr>
              <w:t>15</w:t>
            </w:r>
            <w:r w:rsidR="004B119C">
              <w:rPr>
                <w:noProof/>
                <w:webHidden/>
              </w:rPr>
              <w:fldChar w:fldCharType="end"/>
            </w:r>
          </w:hyperlink>
        </w:p>
        <w:p w14:paraId="5EF49A84" w14:textId="7F59C4EE" w:rsidR="004B119C" w:rsidRDefault="00000000">
          <w:pPr>
            <w:pStyle w:val="TOC1"/>
            <w:tabs>
              <w:tab w:val="right" w:leader="dot" w:pos="9016"/>
            </w:tabs>
            <w:rPr>
              <w:rFonts w:asciiTheme="minorHAnsi" w:eastAsiaTheme="minorEastAsia" w:hAnsiTheme="minorHAnsi"/>
              <w:noProof/>
              <w:sz w:val="24"/>
              <w:szCs w:val="24"/>
              <w:lang w:eastAsia="en-AU"/>
            </w:rPr>
          </w:pPr>
          <w:hyperlink w:anchor="_Toc172009658" w:history="1">
            <w:r w:rsidR="004B119C" w:rsidRPr="00043C4A">
              <w:rPr>
                <w:rStyle w:val="Hyperlink"/>
                <w:noProof/>
              </w:rPr>
              <w:t>Highlights</w:t>
            </w:r>
            <w:r w:rsidR="004B119C">
              <w:rPr>
                <w:noProof/>
                <w:webHidden/>
              </w:rPr>
              <w:tab/>
            </w:r>
            <w:r w:rsidR="004B119C">
              <w:rPr>
                <w:noProof/>
                <w:webHidden/>
              </w:rPr>
              <w:fldChar w:fldCharType="begin"/>
            </w:r>
            <w:r w:rsidR="004B119C">
              <w:rPr>
                <w:noProof/>
                <w:webHidden/>
              </w:rPr>
              <w:instrText xml:space="preserve"> PAGEREF _Toc172009658 \h </w:instrText>
            </w:r>
            <w:r w:rsidR="004B119C">
              <w:rPr>
                <w:noProof/>
                <w:webHidden/>
              </w:rPr>
            </w:r>
            <w:r w:rsidR="004B119C">
              <w:rPr>
                <w:noProof/>
                <w:webHidden/>
              </w:rPr>
              <w:fldChar w:fldCharType="separate"/>
            </w:r>
            <w:r w:rsidR="00BC5836">
              <w:rPr>
                <w:noProof/>
                <w:webHidden/>
              </w:rPr>
              <w:t>17</w:t>
            </w:r>
            <w:r w:rsidR="004B119C">
              <w:rPr>
                <w:noProof/>
                <w:webHidden/>
              </w:rPr>
              <w:fldChar w:fldCharType="end"/>
            </w:r>
          </w:hyperlink>
        </w:p>
        <w:p w14:paraId="0BE25BDB" w14:textId="120317B3" w:rsidR="004B119C" w:rsidRDefault="00000000">
          <w:pPr>
            <w:pStyle w:val="TOC1"/>
            <w:tabs>
              <w:tab w:val="right" w:leader="dot" w:pos="9016"/>
            </w:tabs>
            <w:rPr>
              <w:rFonts w:asciiTheme="minorHAnsi" w:eastAsiaTheme="minorEastAsia" w:hAnsiTheme="minorHAnsi"/>
              <w:noProof/>
              <w:sz w:val="24"/>
              <w:szCs w:val="24"/>
              <w:lang w:eastAsia="en-AU"/>
            </w:rPr>
          </w:pPr>
          <w:hyperlink w:anchor="_Toc172009684" w:history="1">
            <w:r w:rsidR="004B119C" w:rsidRPr="00043C4A">
              <w:rPr>
                <w:rStyle w:val="Hyperlink"/>
                <w:noProof/>
              </w:rPr>
              <w:t>Our financial and non-financial performance indicators</w:t>
            </w:r>
            <w:r w:rsidR="004B119C">
              <w:rPr>
                <w:noProof/>
                <w:webHidden/>
              </w:rPr>
              <w:tab/>
            </w:r>
            <w:r w:rsidR="004B119C">
              <w:rPr>
                <w:noProof/>
                <w:webHidden/>
              </w:rPr>
              <w:fldChar w:fldCharType="begin"/>
            </w:r>
            <w:r w:rsidR="004B119C">
              <w:rPr>
                <w:noProof/>
                <w:webHidden/>
              </w:rPr>
              <w:instrText xml:space="preserve"> PAGEREF _Toc172009684 \h </w:instrText>
            </w:r>
            <w:r w:rsidR="004B119C">
              <w:rPr>
                <w:noProof/>
                <w:webHidden/>
              </w:rPr>
            </w:r>
            <w:r w:rsidR="004B119C">
              <w:rPr>
                <w:noProof/>
                <w:webHidden/>
              </w:rPr>
              <w:fldChar w:fldCharType="separate"/>
            </w:r>
            <w:r w:rsidR="00BC5836">
              <w:rPr>
                <w:noProof/>
                <w:webHidden/>
              </w:rPr>
              <w:t>18</w:t>
            </w:r>
            <w:r w:rsidR="004B119C">
              <w:rPr>
                <w:noProof/>
                <w:webHidden/>
              </w:rPr>
              <w:fldChar w:fldCharType="end"/>
            </w:r>
          </w:hyperlink>
        </w:p>
        <w:p w14:paraId="5C48D151" w14:textId="2F86A646" w:rsidR="004B119C" w:rsidRDefault="00000000">
          <w:pPr>
            <w:pStyle w:val="TOC1"/>
            <w:tabs>
              <w:tab w:val="right" w:leader="dot" w:pos="9016"/>
            </w:tabs>
            <w:rPr>
              <w:rFonts w:asciiTheme="minorHAnsi" w:eastAsiaTheme="minorEastAsia" w:hAnsiTheme="minorHAnsi"/>
              <w:noProof/>
              <w:sz w:val="24"/>
              <w:szCs w:val="24"/>
              <w:lang w:eastAsia="en-AU"/>
            </w:rPr>
          </w:pPr>
          <w:hyperlink w:anchor="_Toc172009697" w:history="1">
            <w:r w:rsidR="004B119C" w:rsidRPr="00043C4A">
              <w:rPr>
                <w:rStyle w:val="Hyperlink"/>
                <w:noProof/>
              </w:rPr>
              <w:t>Claims costs and claims management</w:t>
            </w:r>
            <w:r w:rsidR="004B119C">
              <w:rPr>
                <w:noProof/>
                <w:webHidden/>
              </w:rPr>
              <w:tab/>
            </w:r>
            <w:r w:rsidR="004B119C">
              <w:rPr>
                <w:noProof/>
                <w:webHidden/>
              </w:rPr>
              <w:fldChar w:fldCharType="begin"/>
            </w:r>
            <w:r w:rsidR="004B119C">
              <w:rPr>
                <w:noProof/>
                <w:webHidden/>
              </w:rPr>
              <w:instrText xml:space="preserve"> PAGEREF _Toc172009697 \h </w:instrText>
            </w:r>
            <w:r w:rsidR="004B119C">
              <w:rPr>
                <w:noProof/>
                <w:webHidden/>
              </w:rPr>
            </w:r>
            <w:r w:rsidR="004B119C">
              <w:rPr>
                <w:noProof/>
                <w:webHidden/>
              </w:rPr>
              <w:fldChar w:fldCharType="separate"/>
            </w:r>
            <w:r w:rsidR="00BC5836">
              <w:rPr>
                <w:noProof/>
                <w:webHidden/>
              </w:rPr>
              <w:t>21</w:t>
            </w:r>
            <w:r w:rsidR="004B119C">
              <w:rPr>
                <w:noProof/>
                <w:webHidden/>
              </w:rPr>
              <w:fldChar w:fldCharType="end"/>
            </w:r>
          </w:hyperlink>
        </w:p>
        <w:p w14:paraId="51950100" w14:textId="3EE7A2C2" w:rsidR="004B119C" w:rsidRDefault="00000000">
          <w:pPr>
            <w:pStyle w:val="TOC1"/>
            <w:tabs>
              <w:tab w:val="right" w:leader="dot" w:pos="9016"/>
            </w:tabs>
            <w:rPr>
              <w:rFonts w:asciiTheme="minorHAnsi" w:eastAsiaTheme="minorEastAsia" w:hAnsiTheme="minorHAnsi"/>
              <w:noProof/>
              <w:sz w:val="24"/>
              <w:szCs w:val="24"/>
              <w:lang w:eastAsia="en-AU"/>
            </w:rPr>
          </w:pPr>
          <w:hyperlink w:anchor="_Toc172009714" w:history="1">
            <w:r w:rsidR="004B119C" w:rsidRPr="00043C4A">
              <w:rPr>
                <w:rStyle w:val="Hyperlink"/>
                <w:noProof/>
              </w:rPr>
              <w:t>Improving outcomes through partnerships</w:t>
            </w:r>
            <w:r w:rsidR="004B119C">
              <w:rPr>
                <w:noProof/>
                <w:webHidden/>
              </w:rPr>
              <w:tab/>
            </w:r>
            <w:r w:rsidR="004B119C">
              <w:rPr>
                <w:noProof/>
                <w:webHidden/>
              </w:rPr>
              <w:fldChar w:fldCharType="begin"/>
            </w:r>
            <w:r w:rsidR="004B119C">
              <w:rPr>
                <w:noProof/>
                <w:webHidden/>
              </w:rPr>
              <w:instrText xml:space="preserve"> PAGEREF _Toc172009714 \h </w:instrText>
            </w:r>
            <w:r w:rsidR="004B119C">
              <w:rPr>
                <w:noProof/>
                <w:webHidden/>
              </w:rPr>
            </w:r>
            <w:r w:rsidR="004B119C">
              <w:rPr>
                <w:noProof/>
                <w:webHidden/>
              </w:rPr>
              <w:fldChar w:fldCharType="separate"/>
            </w:r>
            <w:r w:rsidR="00BC5836">
              <w:rPr>
                <w:noProof/>
                <w:webHidden/>
              </w:rPr>
              <w:t>24</w:t>
            </w:r>
            <w:r w:rsidR="004B119C">
              <w:rPr>
                <w:noProof/>
                <w:webHidden/>
              </w:rPr>
              <w:fldChar w:fldCharType="end"/>
            </w:r>
          </w:hyperlink>
        </w:p>
        <w:p w14:paraId="166712D9" w14:textId="3B4876B9" w:rsidR="004B119C" w:rsidRDefault="00000000">
          <w:pPr>
            <w:pStyle w:val="TOC1"/>
            <w:tabs>
              <w:tab w:val="right" w:leader="dot" w:pos="9016"/>
            </w:tabs>
            <w:rPr>
              <w:rFonts w:asciiTheme="minorHAnsi" w:eastAsiaTheme="minorEastAsia" w:hAnsiTheme="minorHAnsi"/>
              <w:noProof/>
              <w:sz w:val="24"/>
              <w:szCs w:val="24"/>
              <w:lang w:eastAsia="en-AU"/>
            </w:rPr>
          </w:pPr>
          <w:hyperlink w:anchor="_Toc172009720" w:history="1">
            <w:r w:rsidR="004B119C" w:rsidRPr="00043C4A">
              <w:rPr>
                <w:rStyle w:val="Hyperlink"/>
                <w:noProof/>
              </w:rPr>
              <w:t>Our people</w:t>
            </w:r>
            <w:r w:rsidR="004B119C">
              <w:rPr>
                <w:noProof/>
                <w:webHidden/>
              </w:rPr>
              <w:tab/>
            </w:r>
            <w:r w:rsidR="004B119C">
              <w:rPr>
                <w:noProof/>
                <w:webHidden/>
              </w:rPr>
              <w:fldChar w:fldCharType="begin"/>
            </w:r>
            <w:r w:rsidR="004B119C">
              <w:rPr>
                <w:noProof/>
                <w:webHidden/>
              </w:rPr>
              <w:instrText xml:space="preserve"> PAGEREF _Toc172009720 \h </w:instrText>
            </w:r>
            <w:r w:rsidR="004B119C">
              <w:rPr>
                <w:noProof/>
                <w:webHidden/>
              </w:rPr>
            </w:r>
            <w:r w:rsidR="004B119C">
              <w:rPr>
                <w:noProof/>
                <w:webHidden/>
              </w:rPr>
              <w:fldChar w:fldCharType="separate"/>
            </w:r>
            <w:r w:rsidR="00BC5836">
              <w:rPr>
                <w:noProof/>
                <w:webHidden/>
              </w:rPr>
              <w:t>26</w:t>
            </w:r>
            <w:r w:rsidR="004B119C">
              <w:rPr>
                <w:noProof/>
                <w:webHidden/>
              </w:rPr>
              <w:fldChar w:fldCharType="end"/>
            </w:r>
          </w:hyperlink>
        </w:p>
        <w:p w14:paraId="720EAB4D" w14:textId="24AC210A" w:rsidR="004B119C" w:rsidRDefault="00000000">
          <w:pPr>
            <w:pStyle w:val="TOC1"/>
            <w:tabs>
              <w:tab w:val="right" w:leader="dot" w:pos="9016"/>
            </w:tabs>
            <w:rPr>
              <w:rFonts w:asciiTheme="minorHAnsi" w:eastAsiaTheme="minorEastAsia" w:hAnsiTheme="minorHAnsi"/>
              <w:noProof/>
              <w:sz w:val="24"/>
              <w:szCs w:val="24"/>
              <w:lang w:eastAsia="en-AU"/>
            </w:rPr>
          </w:pPr>
          <w:hyperlink w:anchor="_Toc172009733" w:history="1">
            <w:r w:rsidR="004B119C" w:rsidRPr="00043C4A">
              <w:rPr>
                <w:rStyle w:val="Hyperlink"/>
                <w:noProof/>
              </w:rPr>
              <w:t>Governance of management and structure</w:t>
            </w:r>
            <w:r w:rsidR="004B119C">
              <w:rPr>
                <w:noProof/>
                <w:webHidden/>
              </w:rPr>
              <w:tab/>
            </w:r>
            <w:r w:rsidR="004B119C">
              <w:rPr>
                <w:noProof/>
                <w:webHidden/>
              </w:rPr>
              <w:fldChar w:fldCharType="begin"/>
            </w:r>
            <w:r w:rsidR="004B119C">
              <w:rPr>
                <w:noProof/>
                <w:webHidden/>
              </w:rPr>
              <w:instrText xml:space="preserve"> PAGEREF _Toc172009733 \h </w:instrText>
            </w:r>
            <w:r w:rsidR="004B119C">
              <w:rPr>
                <w:noProof/>
                <w:webHidden/>
              </w:rPr>
            </w:r>
            <w:r w:rsidR="004B119C">
              <w:rPr>
                <w:noProof/>
                <w:webHidden/>
              </w:rPr>
              <w:fldChar w:fldCharType="separate"/>
            </w:r>
            <w:r w:rsidR="00BC5836">
              <w:rPr>
                <w:noProof/>
                <w:webHidden/>
              </w:rPr>
              <w:t>29</w:t>
            </w:r>
            <w:r w:rsidR="004B119C">
              <w:rPr>
                <w:noProof/>
                <w:webHidden/>
              </w:rPr>
              <w:fldChar w:fldCharType="end"/>
            </w:r>
          </w:hyperlink>
        </w:p>
        <w:p w14:paraId="728B354C" w14:textId="48D9B42F" w:rsidR="004B119C" w:rsidRDefault="00000000">
          <w:pPr>
            <w:pStyle w:val="TOC1"/>
            <w:tabs>
              <w:tab w:val="right" w:leader="dot" w:pos="9016"/>
            </w:tabs>
            <w:rPr>
              <w:rFonts w:asciiTheme="minorHAnsi" w:eastAsiaTheme="minorEastAsia" w:hAnsiTheme="minorHAnsi"/>
              <w:noProof/>
              <w:sz w:val="24"/>
              <w:szCs w:val="24"/>
              <w:lang w:eastAsia="en-AU"/>
            </w:rPr>
          </w:pPr>
          <w:hyperlink w:anchor="_Toc172009740" w:history="1">
            <w:r w:rsidR="004B119C" w:rsidRPr="00043C4A">
              <w:rPr>
                <w:rStyle w:val="Hyperlink"/>
                <w:noProof/>
              </w:rPr>
              <w:t>Governance of risk management and accountability</w:t>
            </w:r>
            <w:r w:rsidR="004B119C">
              <w:rPr>
                <w:noProof/>
                <w:webHidden/>
              </w:rPr>
              <w:tab/>
            </w:r>
            <w:r w:rsidR="004B119C">
              <w:rPr>
                <w:noProof/>
                <w:webHidden/>
              </w:rPr>
              <w:fldChar w:fldCharType="begin"/>
            </w:r>
            <w:r w:rsidR="004B119C">
              <w:rPr>
                <w:noProof/>
                <w:webHidden/>
              </w:rPr>
              <w:instrText xml:space="preserve"> PAGEREF _Toc172009740 \h </w:instrText>
            </w:r>
            <w:r w:rsidR="004B119C">
              <w:rPr>
                <w:noProof/>
                <w:webHidden/>
              </w:rPr>
            </w:r>
            <w:r w:rsidR="004B119C">
              <w:rPr>
                <w:noProof/>
                <w:webHidden/>
              </w:rPr>
              <w:fldChar w:fldCharType="separate"/>
            </w:r>
            <w:r w:rsidR="00BC5836">
              <w:rPr>
                <w:noProof/>
                <w:webHidden/>
              </w:rPr>
              <w:t>33</w:t>
            </w:r>
            <w:r w:rsidR="004B119C">
              <w:rPr>
                <w:noProof/>
                <w:webHidden/>
              </w:rPr>
              <w:fldChar w:fldCharType="end"/>
            </w:r>
          </w:hyperlink>
        </w:p>
        <w:p w14:paraId="5A926044" w14:textId="49EDC2B7" w:rsidR="004B119C" w:rsidRDefault="00000000">
          <w:pPr>
            <w:pStyle w:val="TOC1"/>
            <w:tabs>
              <w:tab w:val="right" w:leader="dot" w:pos="9016"/>
            </w:tabs>
            <w:rPr>
              <w:rFonts w:asciiTheme="minorHAnsi" w:eastAsiaTheme="minorEastAsia" w:hAnsiTheme="minorHAnsi"/>
              <w:noProof/>
              <w:sz w:val="24"/>
              <w:szCs w:val="24"/>
              <w:lang w:eastAsia="en-AU"/>
            </w:rPr>
          </w:pPr>
          <w:hyperlink w:anchor="_Toc172009750" w:history="1">
            <w:r w:rsidR="004B119C" w:rsidRPr="00043C4A">
              <w:rPr>
                <w:rStyle w:val="Hyperlink"/>
                <w:noProof/>
              </w:rPr>
              <w:t xml:space="preserve">Financial performance </w:t>
            </w:r>
            <w:r w:rsidR="004B119C">
              <w:rPr>
                <w:noProof/>
                <w:webHidden/>
              </w:rPr>
              <w:tab/>
            </w:r>
            <w:r w:rsidR="004B119C">
              <w:rPr>
                <w:noProof/>
                <w:webHidden/>
              </w:rPr>
              <w:fldChar w:fldCharType="begin"/>
            </w:r>
            <w:r w:rsidR="004B119C">
              <w:rPr>
                <w:noProof/>
                <w:webHidden/>
              </w:rPr>
              <w:instrText xml:space="preserve"> PAGEREF _Toc172009750 \h </w:instrText>
            </w:r>
            <w:r w:rsidR="004B119C">
              <w:rPr>
                <w:noProof/>
                <w:webHidden/>
              </w:rPr>
            </w:r>
            <w:r w:rsidR="004B119C">
              <w:rPr>
                <w:noProof/>
                <w:webHidden/>
              </w:rPr>
              <w:fldChar w:fldCharType="separate"/>
            </w:r>
            <w:r w:rsidR="00BC5836">
              <w:rPr>
                <w:noProof/>
                <w:webHidden/>
              </w:rPr>
              <w:t>37</w:t>
            </w:r>
            <w:r w:rsidR="004B119C">
              <w:rPr>
                <w:noProof/>
                <w:webHidden/>
              </w:rPr>
              <w:fldChar w:fldCharType="end"/>
            </w:r>
          </w:hyperlink>
        </w:p>
        <w:p w14:paraId="529F9C44" w14:textId="792F7E99" w:rsidR="004B119C" w:rsidRDefault="00000000">
          <w:pPr>
            <w:pStyle w:val="TOC1"/>
            <w:tabs>
              <w:tab w:val="right" w:leader="dot" w:pos="9016"/>
            </w:tabs>
            <w:rPr>
              <w:rFonts w:asciiTheme="minorHAnsi" w:eastAsiaTheme="minorEastAsia" w:hAnsiTheme="minorHAnsi"/>
              <w:noProof/>
              <w:sz w:val="24"/>
              <w:szCs w:val="24"/>
              <w:lang w:eastAsia="en-AU"/>
            </w:rPr>
          </w:pPr>
          <w:hyperlink w:anchor="_Toc172009757" w:history="1">
            <w:r w:rsidR="004B119C" w:rsidRPr="00043C4A">
              <w:rPr>
                <w:rStyle w:val="Hyperlink"/>
                <w:noProof/>
              </w:rPr>
              <w:t>Consolidated financial statements</w:t>
            </w:r>
            <w:r w:rsidR="004B119C">
              <w:rPr>
                <w:noProof/>
                <w:webHidden/>
              </w:rPr>
              <w:tab/>
            </w:r>
            <w:r w:rsidR="004B119C">
              <w:rPr>
                <w:noProof/>
                <w:webHidden/>
              </w:rPr>
              <w:fldChar w:fldCharType="begin"/>
            </w:r>
            <w:r w:rsidR="004B119C">
              <w:rPr>
                <w:noProof/>
                <w:webHidden/>
              </w:rPr>
              <w:instrText xml:space="preserve"> PAGEREF _Toc172009757 \h </w:instrText>
            </w:r>
            <w:r w:rsidR="004B119C">
              <w:rPr>
                <w:noProof/>
                <w:webHidden/>
              </w:rPr>
            </w:r>
            <w:r w:rsidR="004B119C">
              <w:rPr>
                <w:noProof/>
                <w:webHidden/>
              </w:rPr>
              <w:fldChar w:fldCharType="separate"/>
            </w:r>
            <w:r w:rsidR="00BC5836">
              <w:rPr>
                <w:noProof/>
                <w:webHidden/>
              </w:rPr>
              <w:t>39</w:t>
            </w:r>
            <w:r w:rsidR="004B119C">
              <w:rPr>
                <w:noProof/>
                <w:webHidden/>
              </w:rPr>
              <w:fldChar w:fldCharType="end"/>
            </w:r>
          </w:hyperlink>
        </w:p>
        <w:p w14:paraId="503AC6BA" w14:textId="06DB8F31" w:rsidR="004B119C" w:rsidRDefault="00000000">
          <w:pPr>
            <w:pStyle w:val="TOC1"/>
            <w:tabs>
              <w:tab w:val="right" w:leader="dot" w:pos="9016"/>
            </w:tabs>
            <w:rPr>
              <w:rFonts w:asciiTheme="minorHAnsi" w:eastAsiaTheme="minorEastAsia" w:hAnsiTheme="minorHAnsi"/>
              <w:noProof/>
              <w:sz w:val="24"/>
              <w:szCs w:val="24"/>
              <w:lang w:eastAsia="en-AU"/>
            </w:rPr>
          </w:pPr>
          <w:hyperlink w:anchor="_Toc172009758" w:history="1">
            <w:r w:rsidR="004B119C" w:rsidRPr="00043C4A">
              <w:rPr>
                <w:rStyle w:val="Hyperlink"/>
                <w:noProof/>
              </w:rPr>
              <w:t>Compliance checklist</w:t>
            </w:r>
            <w:r w:rsidR="004B119C">
              <w:rPr>
                <w:noProof/>
                <w:webHidden/>
              </w:rPr>
              <w:tab/>
            </w:r>
            <w:r w:rsidR="004B119C">
              <w:rPr>
                <w:noProof/>
                <w:webHidden/>
              </w:rPr>
              <w:fldChar w:fldCharType="begin"/>
            </w:r>
            <w:r w:rsidR="004B119C">
              <w:rPr>
                <w:noProof/>
                <w:webHidden/>
              </w:rPr>
              <w:instrText xml:space="preserve"> PAGEREF _Toc172009758 \h </w:instrText>
            </w:r>
            <w:r w:rsidR="004B119C">
              <w:rPr>
                <w:noProof/>
                <w:webHidden/>
              </w:rPr>
            </w:r>
            <w:r w:rsidR="004B119C">
              <w:rPr>
                <w:noProof/>
                <w:webHidden/>
              </w:rPr>
              <w:fldChar w:fldCharType="separate"/>
            </w:r>
            <w:r w:rsidR="00BC5836">
              <w:rPr>
                <w:noProof/>
                <w:webHidden/>
              </w:rPr>
              <w:t>8</w:t>
            </w:r>
            <w:r w:rsidR="004B119C">
              <w:rPr>
                <w:noProof/>
                <w:webHidden/>
              </w:rPr>
              <w:fldChar w:fldCharType="end"/>
            </w:r>
          </w:hyperlink>
          <w:r w:rsidR="00BC6E80">
            <w:rPr>
              <w:noProof/>
            </w:rPr>
            <w:t>8</w:t>
          </w:r>
        </w:p>
        <w:p w14:paraId="79E6A83B" w14:textId="62024530" w:rsidR="004B119C" w:rsidRDefault="00000000">
          <w:pPr>
            <w:pStyle w:val="TOC1"/>
            <w:tabs>
              <w:tab w:val="right" w:leader="dot" w:pos="9016"/>
            </w:tabs>
            <w:rPr>
              <w:rFonts w:asciiTheme="minorHAnsi" w:eastAsiaTheme="minorEastAsia" w:hAnsiTheme="minorHAnsi"/>
              <w:noProof/>
              <w:sz w:val="24"/>
              <w:szCs w:val="24"/>
              <w:lang w:eastAsia="en-AU"/>
            </w:rPr>
          </w:pPr>
          <w:hyperlink w:anchor="_Toc172009759" w:history="1">
            <w:r w:rsidR="004B119C" w:rsidRPr="00043C4A">
              <w:rPr>
                <w:rStyle w:val="Hyperlink"/>
                <w:noProof/>
              </w:rPr>
              <w:t>Glossary</w:t>
            </w:r>
            <w:r w:rsidR="004B119C">
              <w:rPr>
                <w:noProof/>
                <w:webHidden/>
              </w:rPr>
              <w:tab/>
            </w:r>
            <w:r w:rsidR="004B119C">
              <w:rPr>
                <w:noProof/>
                <w:webHidden/>
              </w:rPr>
              <w:fldChar w:fldCharType="begin"/>
            </w:r>
            <w:r w:rsidR="004B119C">
              <w:rPr>
                <w:noProof/>
                <w:webHidden/>
              </w:rPr>
              <w:instrText xml:space="preserve"> PAGEREF _Toc172009759 \h </w:instrText>
            </w:r>
            <w:r w:rsidR="004B119C">
              <w:rPr>
                <w:noProof/>
                <w:webHidden/>
              </w:rPr>
            </w:r>
            <w:r w:rsidR="004B119C">
              <w:rPr>
                <w:noProof/>
                <w:webHidden/>
              </w:rPr>
              <w:fldChar w:fldCharType="separate"/>
            </w:r>
            <w:r w:rsidR="00BC5836">
              <w:rPr>
                <w:noProof/>
                <w:webHidden/>
              </w:rPr>
              <w:t>9</w:t>
            </w:r>
            <w:r w:rsidR="004B119C">
              <w:rPr>
                <w:noProof/>
                <w:webHidden/>
              </w:rPr>
              <w:fldChar w:fldCharType="end"/>
            </w:r>
          </w:hyperlink>
          <w:r w:rsidR="00220703">
            <w:rPr>
              <w:noProof/>
            </w:rPr>
            <w:t>0</w:t>
          </w:r>
        </w:p>
        <w:p w14:paraId="6CE33441" w14:textId="1818323E" w:rsidR="000276A7" w:rsidRDefault="004B119C">
          <w:r>
            <w:rPr>
              <w:sz w:val="18"/>
              <w:szCs w:val="18"/>
            </w:rPr>
            <w:fldChar w:fldCharType="end"/>
          </w:r>
        </w:p>
        <w:p w14:paraId="1D8A8BFA" w14:textId="77777777" w:rsidR="000276A7" w:rsidRDefault="00000000" w:rsidP="002E4A02"/>
      </w:sdtContent>
    </w:sdt>
    <w:p w14:paraId="51A15581" w14:textId="1119958A" w:rsidR="00265649" w:rsidRPr="00DD1045" w:rsidRDefault="00265649" w:rsidP="002E4A02">
      <w:r w:rsidRPr="00DD1045">
        <w:br w:type="page"/>
      </w:r>
    </w:p>
    <w:p w14:paraId="5679E252" w14:textId="3FF5BEB1" w:rsidR="00265649" w:rsidRPr="00DD1045" w:rsidRDefault="00265649" w:rsidP="002E4A02">
      <w:pPr>
        <w:pStyle w:val="ARMainTitle"/>
        <w:pBdr>
          <w:bottom w:val="single" w:sz="4" w:space="1" w:color="auto"/>
        </w:pBdr>
      </w:pPr>
      <w:bookmarkStart w:id="2" w:name="_Toc172009613"/>
      <w:r w:rsidRPr="00DD1045">
        <w:lastRenderedPageBreak/>
        <w:t>About this report</w:t>
      </w:r>
      <w:bookmarkEnd w:id="2"/>
    </w:p>
    <w:p w14:paraId="199EF801" w14:textId="77102865" w:rsidR="00F9330A" w:rsidRPr="00DD1045" w:rsidRDefault="00F9330A">
      <w:pPr>
        <w:sectPr w:rsidR="00F9330A" w:rsidRPr="00DD1045" w:rsidSect="00495C9D">
          <w:footerReference w:type="even" r:id="rId14"/>
          <w:pgSz w:w="11906" w:h="16838"/>
          <w:pgMar w:top="1440" w:right="1440" w:bottom="1440" w:left="1440" w:header="708" w:footer="708" w:gutter="0"/>
          <w:cols w:space="708"/>
          <w:titlePg/>
          <w:docGrid w:linePitch="360"/>
        </w:sectPr>
      </w:pPr>
    </w:p>
    <w:p w14:paraId="2604BE19" w14:textId="3E1E7AA4" w:rsidR="00945DD5" w:rsidRPr="00DD1045" w:rsidRDefault="00F9330A">
      <w:r w:rsidRPr="00DD1045">
        <w:t xml:space="preserve">Under the </w:t>
      </w:r>
      <w:hyperlink r:id="rId15" w:history="1">
        <w:r w:rsidRPr="00DD1045">
          <w:rPr>
            <w:rStyle w:val="Hyperlink"/>
            <w:i/>
            <w:iCs/>
            <w:color w:val="auto"/>
          </w:rPr>
          <w:t>Workers’ Compensation and Rehabilitation Act 2003</w:t>
        </w:r>
      </w:hyperlink>
      <w:r w:rsidRPr="00DD1045">
        <w:t xml:space="preserve"> (the Act)</w:t>
      </w:r>
      <w:r w:rsidR="006246DC">
        <w:t xml:space="preserve"> (</w:t>
      </w:r>
      <w:r w:rsidR="006246DC" w:rsidRPr="006246DC">
        <w:rPr>
          <w:u w:val="single"/>
        </w:rPr>
        <w:t>https://www.</w:t>
      </w:r>
      <w:r w:rsidR="006246DC" w:rsidRPr="006246DC">
        <w:rPr>
          <w:u w:val="single"/>
        </w:rPr>
        <w:br/>
        <w:t>legislation.qld.gov.au/view/html/inforce/current/act-2003-027</w:t>
      </w:r>
      <w:r w:rsidR="006246DC" w:rsidRPr="006246DC">
        <w:rPr>
          <w:rStyle w:val="Hyperlink"/>
          <w:color w:val="auto"/>
          <w:u w:val="none"/>
        </w:rPr>
        <w:t>)</w:t>
      </w:r>
      <w:r w:rsidRPr="006246DC">
        <w:t>,</w:t>
      </w:r>
      <w:r w:rsidRPr="00DD1045">
        <w:t xml:space="preserve"> WorkCover Queensland is required to produce an annual report. This report has been prepared to meet the needs of stakeholders and the accountability requirements under the </w:t>
      </w:r>
      <w:hyperlink r:id="rId16" w:history="1">
        <w:r w:rsidRPr="00DD1045">
          <w:rPr>
            <w:rStyle w:val="Hyperlink"/>
            <w:i/>
            <w:iCs/>
            <w:color w:val="auto"/>
          </w:rPr>
          <w:t>Financial Accountability Act 2009</w:t>
        </w:r>
      </w:hyperlink>
      <w:r w:rsidR="006246DC">
        <w:rPr>
          <w:rStyle w:val="Hyperlink"/>
          <w:i/>
          <w:iCs/>
          <w:color w:val="auto"/>
        </w:rPr>
        <w:t xml:space="preserve"> </w:t>
      </w:r>
      <w:r w:rsidR="006246DC">
        <w:rPr>
          <w:rStyle w:val="Hyperlink"/>
          <w:color w:val="auto"/>
          <w:u w:val="none"/>
        </w:rPr>
        <w:t>(</w:t>
      </w:r>
      <w:r w:rsidR="006246DC" w:rsidRPr="006246DC">
        <w:rPr>
          <w:rStyle w:val="Hyperlink"/>
          <w:color w:val="auto"/>
        </w:rPr>
        <w:t>https://www.</w:t>
      </w:r>
      <w:r w:rsidR="006246DC" w:rsidRPr="006246DC">
        <w:rPr>
          <w:rStyle w:val="Hyperlink"/>
          <w:color w:val="auto"/>
        </w:rPr>
        <w:br/>
        <w:t>legislation.qld.gov.au/view/html/inforce/current/act-2009-009</w:t>
      </w:r>
      <w:r w:rsidR="006246DC">
        <w:rPr>
          <w:rStyle w:val="Hyperlink"/>
          <w:color w:val="auto"/>
          <w:u w:val="none"/>
        </w:rPr>
        <w:t>)</w:t>
      </w:r>
      <w:r w:rsidRPr="00DD1045">
        <w:t xml:space="preserve">. </w:t>
      </w:r>
    </w:p>
    <w:p w14:paraId="7E208AF2" w14:textId="52122052" w:rsidR="00945DD5" w:rsidRPr="00DD1045" w:rsidRDefault="00945DD5">
      <w:r w:rsidRPr="00DD1045">
        <w:rPr>
          <w:noProof/>
        </w:rPr>
        <w:drawing>
          <wp:inline distT="0" distB="0" distL="0" distR="0" wp14:anchorId="7515213E" wp14:editId="4D1D1BF7">
            <wp:extent cx="672860" cy="680949"/>
            <wp:effectExtent l="0" t="0" r="0" b="5080"/>
            <wp:docPr id="946851741" name="Picture 2" descr="194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4 px"/>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78277" cy="686431"/>
                    </a:xfrm>
                    <a:prstGeom prst="rect">
                      <a:avLst/>
                    </a:prstGeom>
                    <a:noFill/>
                    <a:ln>
                      <a:noFill/>
                    </a:ln>
                  </pic:spPr>
                </pic:pic>
              </a:graphicData>
            </a:graphic>
          </wp:inline>
        </w:drawing>
      </w:r>
    </w:p>
    <w:p w14:paraId="2981624E" w14:textId="77777777" w:rsidR="00F9330A" w:rsidRPr="00DD1045" w:rsidRDefault="00F9330A">
      <w:r w:rsidRPr="00DD1045">
        <w:t xml:space="preserve">WorkCover is committed to providing accessible services to Queenslanders from all culturally and linguistically diverse backgrounds. If you have difficulty in understanding the annual report, you can contact us on 1300 362 128 and we will arrange an interpreter to effectively communicate the report to you. </w:t>
      </w:r>
    </w:p>
    <w:p w14:paraId="604E27D4" w14:textId="666C79A8" w:rsidR="00945DD5" w:rsidRPr="00DD1045" w:rsidRDefault="00F9330A">
      <w:r w:rsidRPr="00DD1045">
        <w:t>To view previous reports, please visit our website:</w:t>
      </w:r>
      <w:r w:rsidR="00945DD5" w:rsidRPr="00DD1045">
        <w:t xml:space="preserve"> </w:t>
      </w:r>
      <w:hyperlink r:id="rId19" w:history="1">
        <w:r w:rsidR="00945DD5" w:rsidRPr="00DD1045">
          <w:rPr>
            <w:rStyle w:val="Hyperlink"/>
            <w:color w:val="auto"/>
          </w:rPr>
          <w:t>https://www.worksafe.qld.gov.au/resources/publications/annual-reports</w:t>
        </w:r>
      </w:hyperlink>
    </w:p>
    <w:p w14:paraId="42BC0A99" w14:textId="77777777" w:rsidR="00F9330A" w:rsidRPr="00DD1045" w:rsidRDefault="00F9330A">
      <w:r w:rsidRPr="00DD1045">
        <w:t xml:space="preserve">If you wish to speak to us about this report, please contact: </w:t>
      </w:r>
    </w:p>
    <w:p w14:paraId="15008764" w14:textId="50BAE98A" w:rsidR="00F9330A" w:rsidRPr="00DD1045" w:rsidRDefault="00F9330A">
      <w:r w:rsidRPr="00DD1045">
        <w:t xml:space="preserve">Communications </w:t>
      </w:r>
      <w:r w:rsidRPr="00DD1045">
        <w:br/>
        <w:t xml:space="preserve">WorkCover Queensland </w:t>
      </w:r>
      <w:r w:rsidRPr="00DD1045">
        <w:br/>
        <w:t xml:space="preserve">GPO Box 2459 </w:t>
      </w:r>
      <w:r w:rsidRPr="00DD1045">
        <w:br/>
        <w:t>BRISBANE QLD 4001 1300 362 128</w:t>
      </w:r>
      <w:r w:rsidRPr="00DD1045">
        <w:br/>
      </w:r>
      <w:hyperlink r:id="rId20" w:history="1">
        <w:r w:rsidRPr="00DD1045">
          <w:rPr>
            <w:rStyle w:val="Hyperlink"/>
            <w:color w:val="auto"/>
          </w:rPr>
          <w:t>communications@workcoverqld.com.au</w:t>
        </w:r>
      </w:hyperlink>
    </w:p>
    <w:p w14:paraId="25D9F039" w14:textId="77777777" w:rsidR="00F9330A" w:rsidRPr="00DD1045" w:rsidRDefault="00F9330A"/>
    <w:p w14:paraId="49D95564" w14:textId="77777777" w:rsidR="00F9330A" w:rsidRPr="00DD1045" w:rsidRDefault="00F9330A">
      <w:r w:rsidRPr="00DD1045">
        <w:t>ISSN 1329-6539</w:t>
      </w:r>
    </w:p>
    <w:p w14:paraId="6E11388B" w14:textId="104FB5B7" w:rsidR="00F9330A" w:rsidRPr="00DD1045" w:rsidRDefault="00F9330A">
      <w:r w:rsidRPr="00DD1045">
        <w:t xml:space="preserve"> © WorkCover Queensland </w:t>
      </w:r>
      <w:r w:rsidRPr="009C6512">
        <w:t>202</w:t>
      </w:r>
      <w:r w:rsidR="00945DD5" w:rsidRPr="009C6512">
        <w:t>4</w:t>
      </w:r>
      <w:r w:rsidRPr="00DD1045">
        <w:t xml:space="preserve"> </w:t>
      </w:r>
    </w:p>
    <w:p w14:paraId="6498CE6D" w14:textId="77777777" w:rsidR="00F9330A" w:rsidRPr="00DD1045" w:rsidRDefault="00F9330A"/>
    <w:p w14:paraId="4B61E196" w14:textId="77777777" w:rsidR="00F9330A" w:rsidRPr="00DD1045" w:rsidRDefault="00F9330A" w:rsidP="00945DD5">
      <w:pPr>
        <w:pStyle w:val="ARSub-heading2"/>
      </w:pPr>
      <w:bookmarkStart w:id="3" w:name="_Toc172009614"/>
      <w:r w:rsidRPr="00DD1045">
        <w:t>License</w:t>
      </w:r>
      <w:bookmarkEnd w:id="3"/>
      <w:r w:rsidRPr="00DD1045">
        <w:t xml:space="preserve"> </w:t>
      </w:r>
    </w:p>
    <w:p w14:paraId="6A977BB9" w14:textId="77777777" w:rsidR="00945DD5" w:rsidRPr="00DD1045" w:rsidRDefault="00F9330A">
      <w:r w:rsidRPr="00DD1045">
        <w:t xml:space="preserve">This annual report is licensed by WorkCover Queensland under a Creative Commons Attribution (CC BY) 4.0 International license. </w:t>
      </w:r>
    </w:p>
    <w:p w14:paraId="500556DA" w14:textId="0AE661B1" w:rsidR="00945DD5" w:rsidRPr="00DD1045" w:rsidRDefault="00945DD5">
      <w:r w:rsidRPr="00DD1045">
        <w:rPr>
          <w:noProof/>
        </w:rPr>
        <w:drawing>
          <wp:inline distT="0" distB="0" distL="0" distR="0" wp14:anchorId="6B313818" wp14:editId="7BB4408B">
            <wp:extent cx="1544128" cy="596442"/>
            <wp:effectExtent l="0" t="0" r="0" b="0"/>
            <wp:docPr id="297937264" name="Picture 3" descr="A grey and black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937264" name="Picture 3" descr="A grey and black rectangular sign with white text&#10;&#10;Description automatically generated"/>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9801" t="21778" r="9848" b="22294"/>
                    <a:stretch/>
                  </pic:blipFill>
                  <pic:spPr bwMode="auto">
                    <a:xfrm>
                      <a:off x="0" y="0"/>
                      <a:ext cx="1557167" cy="601478"/>
                    </a:xfrm>
                    <a:prstGeom prst="rect">
                      <a:avLst/>
                    </a:prstGeom>
                    <a:noFill/>
                    <a:ln>
                      <a:noFill/>
                    </a:ln>
                    <a:extLst>
                      <a:ext uri="{53640926-AAD7-44D8-BBD7-CCE9431645EC}">
                        <a14:shadowObscured xmlns:a14="http://schemas.microsoft.com/office/drawing/2010/main"/>
                      </a:ext>
                    </a:extLst>
                  </pic:spPr>
                </pic:pic>
              </a:graphicData>
            </a:graphic>
          </wp:inline>
        </w:drawing>
      </w:r>
    </w:p>
    <w:p w14:paraId="391FA2F6" w14:textId="77777777" w:rsidR="00945DD5" w:rsidRPr="00DD1045" w:rsidRDefault="00F9330A">
      <w:r w:rsidRPr="00DD1045">
        <w:t xml:space="preserve">CC BY License Summary Statement: </w:t>
      </w:r>
    </w:p>
    <w:p w14:paraId="6E8DBDA2" w14:textId="77777777" w:rsidR="00945DD5" w:rsidRPr="00DD1045" w:rsidRDefault="00F9330A">
      <w:r w:rsidRPr="00DD1045">
        <w:t xml:space="preserve">In essence, you are free to copy, communicate and adapt this annual report, as long as you attribute the work to WorkCover Queensland. </w:t>
      </w:r>
    </w:p>
    <w:p w14:paraId="090A0849" w14:textId="0DBB8944" w:rsidR="00F9330A" w:rsidRPr="00DD1045" w:rsidRDefault="00F9330A">
      <w:r w:rsidRPr="00DD1045">
        <w:t xml:space="preserve">To view a copy of this license, visit </w:t>
      </w:r>
      <w:hyperlink r:id="rId22" w:history="1">
        <w:r w:rsidRPr="00DD1045">
          <w:rPr>
            <w:rStyle w:val="Hyperlink"/>
            <w:color w:val="auto"/>
          </w:rPr>
          <w:t>http://creativecommons.org/licenses/by/4.0/</w:t>
        </w:r>
      </w:hyperlink>
      <w:r w:rsidRPr="00DD1045">
        <w:t xml:space="preserve"> </w:t>
      </w:r>
    </w:p>
    <w:p w14:paraId="19AD8B34" w14:textId="77777777" w:rsidR="00945DD5" w:rsidRPr="00DD1045" w:rsidRDefault="00945DD5"/>
    <w:p w14:paraId="654E65AE" w14:textId="77777777" w:rsidR="00F9330A" w:rsidRPr="00DD1045" w:rsidRDefault="00F9330A" w:rsidP="00945DD5">
      <w:pPr>
        <w:pStyle w:val="ARSub-heading2"/>
      </w:pPr>
      <w:bookmarkStart w:id="4" w:name="_Toc172009615"/>
      <w:r w:rsidRPr="00DD1045">
        <w:t>Attribution</w:t>
      </w:r>
      <w:bookmarkEnd w:id="4"/>
      <w:r w:rsidRPr="00DD1045">
        <w:t xml:space="preserve"> </w:t>
      </w:r>
    </w:p>
    <w:p w14:paraId="77BCD3A0" w14:textId="67DA5E3F" w:rsidR="00945DD5" w:rsidRPr="00DD1045" w:rsidRDefault="00F9330A">
      <w:r w:rsidRPr="00DD1045">
        <w:t xml:space="preserve">Content from this annual report should be attributed as: WorkCover Queensland </w:t>
      </w:r>
      <w:r w:rsidRPr="009C6512">
        <w:t>202</w:t>
      </w:r>
      <w:r w:rsidR="00945DD5" w:rsidRPr="009C6512">
        <w:t>3</w:t>
      </w:r>
      <w:r w:rsidRPr="009C6512">
        <w:t>–202</w:t>
      </w:r>
      <w:r w:rsidR="00945DD5" w:rsidRPr="009C6512">
        <w:t>4</w:t>
      </w:r>
      <w:r w:rsidRPr="00DD1045">
        <w:t xml:space="preserve"> Annual Report.</w:t>
      </w:r>
    </w:p>
    <w:p w14:paraId="4C64AC8F" w14:textId="77777777" w:rsidR="00945DD5" w:rsidRPr="00DD1045" w:rsidRDefault="00945DD5"/>
    <w:p w14:paraId="2F160F38" w14:textId="77777777" w:rsidR="00945DD5" w:rsidRPr="00DD1045" w:rsidRDefault="00945DD5"/>
    <w:p w14:paraId="0B220CB9" w14:textId="77777777" w:rsidR="00945DD5" w:rsidRPr="00DD1045" w:rsidRDefault="00945DD5"/>
    <w:p w14:paraId="501C14B9" w14:textId="77777777" w:rsidR="00945DD5" w:rsidRPr="00DD1045" w:rsidRDefault="00945DD5"/>
    <w:p w14:paraId="0F16CEE0" w14:textId="77777777" w:rsidR="00945DD5" w:rsidRPr="00DD1045" w:rsidRDefault="00945DD5"/>
    <w:p w14:paraId="39E3F0F0" w14:textId="77777777" w:rsidR="00945DD5" w:rsidRPr="00DD1045" w:rsidRDefault="00945DD5"/>
    <w:p w14:paraId="054DCE5C" w14:textId="77777777" w:rsidR="00945DD5" w:rsidRPr="00DD1045" w:rsidRDefault="00945DD5"/>
    <w:p w14:paraId="2EC21A78" w14:textId="77777777" w:rsidR="00945DD5" w:rsidRPr="00DD1045" w:rsidRDefault="00945DD5"/>
    <w:p w14:paraId="728CFEBC" w14:textId="77777777" w:rsidR="00945DD5" w:rsidRPr="00DD1045" w:rsidRDefault="00945DD5"/>
    <w:p w14:paraId="1E88F940" w14:textId="77777777" w:rsidR="00945DD5" w:rsidRPr="00DD1045" w:rsidRDefault="00945DD5"/>
    <w:p w14:paraId="253E8A79" w14:textId="77777777" w:rsidR="00945DD5" w:rsidRPr="00DD1045" w:rsidRDefault="00945DD5"/>
    <w:p w14:paraId="029D004E" w14:textId="77777777" w:rsidR="00945DD5" w:rsidRPr="00DD1045" w:rsidRDefault="00945DD5">
      <w:pPr>
        <w:sectPr w:rsidR="00945DD5" w:rsidRPr="00DD1045" w:rsidSect="0012721E">
          <w:type w:val="continuous"/>
          <w:pgSz w:w="11906" w:h="16838"/>
          <w:pgMar w:top="1440" w:right="1440" w:bottom="1440" w:left="1440" w:header="708" w:footer="708" w:gutter="0"/>
          <w:cols w:num="2" w:space="708"/>
          <w:docGrid w:linePitch="360"/>
        </w:sectPr>
      </w:pPr>
    </w:p>
    <w:p w14:paraId="673B592A" w14:textId="6AD87DEA" w:rsidR="00F9330A" w:rsidRPr="00DD1045" w:rsidRDefault="00F9330A">
      <w:r w:rsidRPr="00DD1045">
        <w:br w:type="page"/>
      </w:r>
    </w:p>
    <w:p w14:paraId="14325E92" w14:textId="355A2176" w:rsidR="00265649" w:rsidRPr="00DD1045" w:rsidRDefault="00265649" w:rsidP="002E4A02">
      <w:pPr>
        <w:pStyle w:val="ARMainTitle"/>
        <w:pBdr>
          <w:bottom w:val="single" w:sz="4" w:space="1" w:color="auto"/>
        </w:pBdr>
      </w:pPr>
      <w:bookmarkStart w:id="5" w:name="_Toc172009616"/>
      <w:r w:rsidRPr="00DD1045">
        <w:lastRenderedPageBreak/>
        <w:t>Letter of compliance</w:t>
      </w:r>
      <w:bookmarkEnd w:id="5"/>
      <w:r w:rsidRPr="00DD1045">
        <w:t xml:space="preserve"> </w:t>
      </w:r>
    </w:p>
    <w:p w14:paraId="2D399C0F" w14:textId="77777777" w:rsidR="002B7388" w:rsidRPr="00DD1045" w:rsidRDefault="002B7388" w:rsidP="002E4A02"/>
    <w:p w14:paraId="47744E69" w14:textId="77777777" w:rsidR="00945DD5" w:rsidRPr="00DD1045" w:rsidRDefault="00945DD5" w:rsidP="00945DD5"/>
    <w:p w14:paraId="5A7AACA9" w14:textId="77777777" w:rsidR="00945DD5" w:rsidRPr="00DD1045" w:rsidRDefault="00945DD5" w:rsidP="00945DD5"/>
    <w:p w14:paraId="139B8134" w14:textId="78A0FCD5" w:rsidR="00945DD5" w:rsidRPr="00DD1045" w:rsidRDefault="008D5598" w:rsidP="00945DD5">
      <w:r w:rsidRPr="004407FF">
        <w:t xml:space="preserve">27 </w:t>
      </w:r>
      <w:r w:rsidR="00945DD5" w:rsidRPr="004407FF">
        <w:t>August 2024</w:t>
      </w:r>
      <w:r w:rsidR="00945DD5" w:rsidRPr="00DD1045">
        <w:t xml:space="preserve"> </w:t>
      </w:r>
    </w:p>
    <w:p w14:paraId="6E7C17FB" w14:textId="77777777" w:rsidR="00945DD5" w:rsidRPr="00DD1045" w:rsidRDefault="00945DD5" w:rsidP="00945DD5"/>
    <w:p w14:paraId="04F3A29D" w14:textId="77777777" w:rsidR="00945DD5" w:rsidRPr="00DD1045" w:rsidRDefault="00945DD5" w:rsidP="00945DD5"/>
    <w:p w14:paraId="65C40614" w14:textId="1358CDB9" w:rsidR="00945DD5" w:rsidRPr="00DD1045" w:rsidRDefault="00945DD5" w:rsidP="00945DD5">
      <w:r w:rsidRPr="00DD1045">
        <w:t xml:space="preserve">The Honourable Grace Grace MP </w:t>
      </w:r>
      <w:r w:rsidRPr="00DD1045">
        <w:br/>
        <w:t xml:space="preserve">Minister </w:t>
      </w:r>
      <w:r w:rsidRPr="0055343F">
        <w:t xml:space="preserve">for </w:t>
      </w:r>
      <w:r w:rsidR="0055343F" w:rsidRPr="0055343F">
        <w:t>State Development and Infrastructure</w:t>
      </w:r>
      <w:r w:rsidRPr="0055343F">
        <w:t>, Minister for Industrial Relations and Minister for Racing</w:t>
      </w:r>
      <w:r w:rsidRPr="00DD1045">
        <w:t xml:space="preserve"> </w:t>
      </w:r>
      <w:r w:rsidRPr="00DD1045">
        <w:br/>
        <w:t xml:space="preserve">1 William Street </w:t>
      </w:r>
      <w:r w:rsidRPr="00DD1045">
        <w:br/>
        <w:t xml:space="preserve">BRISBANE QLD 4000 </w:t>
      </w:r>
    </w:p>
    <w:p w14:paraId="67E5D45C" w14:textId="77777777" w:rsidR="00945DD5" w:rsidRPr="00DD1045" w:rsidRDefault="00945DD5" w:rsidP="00945DD5"/>
    <w:p w14:paraId="7F930284" w14:textId="77777777" w:rsidR="00945DD5" w:rsidRPr="00DD1045" w:rsidRDefault="00945DD5" w:rsidP="00945DD5">
      <w:r w:rsidRPr="00DD1045">
        <w:t xml:space="preserve">Dear Minister, </w:t>
      </w:r>
    </w:p>
    <w:p w14:paraId="357D8024" w14:textId="6FC588ED" w:rsidR="00945DD5" w:rsidRPr="00DD1045" w:rsidRDefault="00945DD5" w:rsidP="00EF2968">
      <w:r w:rsidRPr="00DD1045">
        <w:t xml:space="preserve">I am pleased to submit for presentation to the Parliament the WorkCover Queensland </w:t>
      </w:r>
      <w:r w:rsidRPr="00684369">
        <w:t>2023–2024</w:t>
      </w:r>
      <w:r w:rsidRPr="00DD1045">
        <w:t xml:space="preserve"> Annual Report and Financial Statements. </w:t>
      </w:r>
    </w:p>
    <w:p w14:paraId="3FB32D94" w14:textId="77777777" w:rsidR="00945DD5" w:rsidRPr="00DD1045" w:rsidRDefault="00945DD5" w:rsidP="00EF2968">
      <w:r w:rsidRPr="00DD1045">
        <w:t xml:space="preserve">I certify that this Annual Report complies with: </w:t>
      </w:r>
    </w:p>
    <w:p w14:paraId="2C460919" w14:textId="06C092E0" w:rsidR="00EF2968" w:rsidRPr="00DD1045" w:rsidRDefault="00945DD5" w:rsidP="00C73276">
      <w:pPr>
        <w:pStyle w:val="ARDotpoints"/>
        <w:numPr>
          <w:ilvl w:val="0"/>
          <w:numId w:val="4"/>
        </w:numPr>
        <w:ind w:left="584" w:hanging="357"/>
      </w:pPr>
      <w:r w:rsidRPr="00DD1045">
        <w:t xml:space="preserve">the requirements under the </w:t>
      </w:r>
      <w:hyperlink r:id="rId23" w:history="1">
        <w:r w:rsidR="00EF2968" w:rsidRPr="00DD1045">
          <w:rPr>
            <w:rStyle w:val="Hyperlink"/>
            <w:i/>
            <w:iCs/>
            <w:color w:val="auto"/>
          </w:rPr>
          <w:t>Workers’ Compensation and Rehabilitation Act 2003</w:t>
        </w:r>
      </w:hyperlink>
      <w:r w:rsidR="00F8280E">
        <w:rPr>
          <w:rStyle w:val="Hyperlink"/>
          <w:i/>
          <w:iCs/>
          <w:color w:val="auto"/>
        </w:rPr>
        <w:t xml:space="preserve"> </w:t>
      </w:r>
      <w:r w:rsidR="0064000D">
        <w:rPr>
          <w:rStyle w:val="Hyperlink"/>
          <w:color w:val="auto"/>
          <w:u w:val="none"/>
        </w:rPr>
        <w:t>(</w:t>
      </w:r>
      <w:r w:rsidR="0064000D" w:rsidRPr="0064000D">
        <w:rPr>
          <w:rStyle w:val="Hyperlink"/>
          <w:color w:val="auto"/>
        </w:rPr>
        <w:t>https://www.legislation.qld.gov.au/view/html/inforce/current/act-2003-027</w:t>
      </w:r>
      <w:r w:rsidR="0064000D">
        <w:rPr>
          <w:rStyle w:val="Hyperlink"/>
          <w:color w:val="auto"/>
          <w:u w:val="none"/>
        </w:rPr>
        <w:t>)</w:t>
      </w:r>
    </w:p>
    <w:p w14:paraId="465BACB9" w14:textId="21583827" w:rsidR="00EF2968" w:rsidRPr="00DD1045" w:rsidRDefault="00945DD5" w:rsidP="00C73276">
      <w:pPr>
        <w:pStyle w:val="ARDotpoints"/>
        <w:numPr>
          <w:ilvl w:val="0"/>
          <w:numId w:val="4"/>
        </w:numPr>
        <w:ind w:left="584" w:hanging="357"/>
      </w:pPr>
      <w:r w:rsidRPr="00DD1045">
        <w:t xml:space="preserve">the prescribed requirements of the </w:t>
      </w:r>
      <w:hyperlink r:id="rId24" w:history="1">
        <w:r w:rsidR="00EF2968" w:rsidRPr="00DD1045">
          <w:rPr>
            <w:rStyle w:val="Hyperlink"/>
            <w:i/>
            <w:iCs/>
            <w:color w:val="auto"/>
          </w:rPr>
          <w:t>Financial Accountability Act 2009</w:t>
        </w:r>
      </w:hyperlink>
      <w:r w:rsidR="0064000D" w:rsidRPr="0064000D">
        <w:rPr>
          <w:rStyle w:val="Hyperlink"/>
          <w:i/>
          <w:iCs/>
          <w:color w:val="auto"/>
          <w:u w:val="none"/>
        </w:rPr>
        <w:t xml:space="preserve"> </w:t>
      </w:r>
      <w:r w:rsidR="0064000D" w:rsidRPr="0064000D">
        <w:rPr>
          <w:rStyle w:val="Hyperlink"/>
          <w:color w:val="auto"/>
          <w:u w:val="none"/>
        </w:rPr>
        <w:t>(</w:t>
      </w:r>
      <w:r w:rsidR="0064000D" w:rsidRPr="0064000D">
        <w:rPr>
          <w:rStyle w:val="Hyperlink"/>
          <w:color w:val="auto"/>
        </w:rPr>
        <w:t>https://www.legislation.</w:t>
      </w:r>
      <w:r w:rsidR="0064000D">
        <w:rPr>
          <w:rStyle w:val="Hyperlink"/>
          <w:color w:val="auto"/>
        </w:rPr>
        <w:br/>
      </w:r>
      <w:r w:rsidR="0064000D" w:rsidRPr="0064000D">
        <w:rPr>
          <w:rStyle w:val="Hyperlink"/>
          <w:color w:val="auto"/>
        </w:rPr>
        <w:t>qld.gov.au/view/html/inforce/current/act-2009-009</w:t>
      </w:r>
      <w:r w:rsidR="0064000D" w:rsidRPr="0064000D">
        <w:rPr>
          <w:rStyle w:val="Hyperlink"/>
          <w:color w:val="auto"/>
          <w:u w:val="none"/>
        </w:rPr>
        <w:t>)</w:t>
      </w:r>
      <w:r w:rsidR="00EF2968" w:rsidRPr="00DD1045">
        <w:t xml:space="preserve"> </w:t>
      </w:r>
      <w:r w:rsidRPr="00DD1045">
        <w:t xml:space="preserve">and </w:t>
      </w:r>
      <w:r w:rsidRPr="00DD1045">
        <w:rPr>
          <w:rStyle w:val="Hyperlink"/>
          <w:i/>
          <w:iCs/>
          <w:color w:val="auto"/>
        </w:rPr>
        <w:t xml:space="preserve">the </w:t>
      </w:r>
      <w:hyperlink r:id="rId25" w:history="1">
        <w:r w:rsidRPr="00DD1045">
          <w:rPr>
            <w:rStyle w:val="Hyperlink"/>
            <w:i/>
            <w:iCs/>
            <w:color w:val="auto"/>
          </w:rPr>
          <w:t>Financial and Performance Management Standard 2019</w:t>
        </w:r>
      </w:hyperlink>
      <w:r w:rsidR="0064000D" w:rsidRPr="0064000D">
        <w:rPr>
          <w:rStyle w:val="Hyperlink"/>
          <w:color w:val="auto"/>
          <w:u w:val="none"/>
        </w:rPr>
        <w:t xml:space="preserve"> (</w:t>
      </w:r>
      <w:r w:rsidR="0064000D" w:rsidRPr="0064000D">
        <w:rPr>
          <w:rStyle w:val="Hyperlink"/>
          <w:color w:val="auto"/>
        </w:rPr>
        <w:t>https://www.legislation.qld.gov.au/view/pdf/asmade/sl-2019-0182</w:t>
      </w:r>
      <w:r w:rsidR="0064000D" w:rsidRPr="0064000D">
        <w:rPr>
          <w:rStyle w:val="Hyperlink"/>
          <w:color w:val="auto"/>
          <w:u w:val="none"/>
        </w:rPr>
        <w:t>)</w:t>
      </w:r>
      <w:r w:rsidRPr="0064000D">
        <w:t>,</w:t>
      </w:r>
      <w:r w:rsidRPr="00DD1045">
        <w:t xml:space="preserve"> and </w:t>
      </w:r>
    </w:p>
    <w:p w14:paraId="67392FF4" w14:textId="34E4BBE8" w:rsidR="00945DD5" w:rsidRPr="00DD1045" w:rsidRDefault="00945DD5" w:rsidP="00C73276">
      <w:pPr>
        <w:pStyle w:val="ARDotpoints"/>
        <w:numPr>
          <w:ilvl w:val="0"/>
          <w:numId w:val="4"/>
        </w:numPr>
        <w:ind w:left="584" w:hanging="357"/>
      </w:pPr>
      <w:r w:rsidRPr="008826F7">
        <w:t xml:space="preserve">the detailed requirements set out in the </w:t>
      </w:r>
      <w:hyperlink r:id="rId26" w:history="1">
        <w:r w:rsidRPr="008826F7">
          <w:rPr>
            <w:rStyle w:val="Hyperlink"/>
            <w:i/>
            <w:iCs/>
            <w:color w:val="auto"/>
          </w:rPr>
          <w:t>Annual report requirements for Queensland Government agencies</w:t>
        </w:r>
      </w:hyperlink>
      <w:r w:rsidR="0064000D" w:rsidRPr="0064000D">
        <w:rPr>
          <w:rStyle w:val="Hyperlink"/>
          <w:i/>
          <w:iCs/>
          <w:color w:val="auto"/>
          <w:u w:val="none"/>
        </w:rPr>
        <w:t xml:space="preserve"> </w:t>
      </w:r>
      <w:r w:rsidR="0064000D" w:rsidRPr="0064000D">
        <w:rPr>
          <w:rStyle w:val="Hyperlink"/>
          <w:color w:val="auto"/>
          <w:u w:val="none"/>
        </w:rPr>
        <w:t>(</w:t>
      </w:r>
      <w:r w:rsidR="0064000D" w:rsidRPr="0064000D">
        <w:rPr>
          <w:rStyle w:val="Hyperlink"/>
          <w:color w:val="auto"/>
        </w:rPr>
        <w:t>https://www.qld.gov.au/__data/assets/pdf_file/0029/259148/Annual-report-requirements-for-Queensland-Government-agencies-for-the-2023-24-reporting-period.pdf</w:t>
      </w:r>
      <w:r w:rsidR="0064000D" w:rsidRPr="0064000D">
        <w:rPr>
          <w:rStyle w:val="Hyperlink"/>
          <w:color w:val="auto"/>
          <w:u w:val="none"/>
        </w:rPr>
        <w:t>)</w:t>
      </w:r>
      <w:r w:rsidRPr="0064000D">
        <w:t>.</w:t>
      </w:r>
      <w:r w:rsidRPr="008826F7">
        <w:t xml:space="preserve"> </w:t>
      </w:r>
    </w:p>
    <w:p w14:paraId="2B16536E" w14:textId="77777777" w:rsidR="00945DD5" w:rsidRPr="00DD1045" w:rsidRDefault="00945DD5" w:rsidP="00945DD5"/>
    <w:p w14:paraId="079C6B8F" w14:textId="441BA6CD" w:rsidR="00945DD5" w:rsidRPr="00DD1045" w:rsidRDefault="00945DD5" w:rsidP="00945DD5">
      <w:r w:rsidRPr="00DD1045">
        <w:t xml:space="preserve">I would like to thank the Board for </w:t>
      </w:r>
      <w:r w:rsidR="00211E2A">
        <w:t>its</w:t>
      </w:r>
      <w:r w:rsidRPr="00DD1045">
        <w:t xml:space="preserve"> contribution, as well as our people for their demonstrated commitment to providing excellent service to Queensland employers and workers. </w:t>
      </w:r>
    </w:p>
    <w:p w14:paraId="53406FDC" w14:textId="24F5ED90" w:rsidR="00945DD5" w:rsidRPr="00DD1045" w:rsidRDefault="00945DD5" w:rsidP="00945DD5">
      <w:r w:rsidRPr="00DD1045">
        <w:t xml:space="preserve">A checklist outlining the annual reporting requirements is provided at page </w:t>
      </w:r>
      <w:r w:rsidR="008424DD">
        <w:t>89</w:t>
      </w:r>
      <w:r w:rsidR="008424DD" w:rsidRPr="00DD1045">
        <w:t xml:space="preserve"> </w:t>
      </w:r>
      <w:r w:rsidRPr="00DD1045">
        <w:t xml:space="preserve">of this annual report. </w:t>
      </w:r>
    </w:p>
    <w:p w14:paraId="0E1AB3FC" w14:textId="77777777" w:rsidR="00945DD5" w:rsidRPr="00DD1045" w:rsidRDefault="00945DD5" w:rsidP="00945DD5">
      <w:r w:rsidRPr="00DD1045">
        <w:t xml:space="preserve">Yours sincerely, </w:t>
      </w:r>
    </w:p>
    <w:p w14:paraId="7C672B82" w14:textId="04F993EA" w:rsidR="00945DD5" w:rsidRPr="00DD1045" w:rsidRDefault="00945DD5" w:rsidP="00945DD5"/>
    <w:p w14:paraId="0A902B6D" w14:textId="0E48EBB8" w:rsidR="00945DD5" w:rsidRPr="00DD1045" w:rsidRDefault="00945DD5" w:rsidP="00945DD5">
      <w:r w:rsidRPr="00DD1045">
        <w:rPr>
          <w:b/>
          <w:bCs/>
        </w:rPr>
        <w:t>The Honourable Dr Anthony Lynham</w:t>
      </w:r>
      <w:r w:rsidRPr="00DD1045">
        <w:rPr>
          <w:b/>
          <w:bCs/>
        </w:rPr>
        <w:br/>
      </w:r>
      <w:r w:rsidRPr="00DD1045">
        <w:t xml:space="preserve">Chair </w:t>
      </w:r>
      <w:r w:rsidRPr="00DD1045">
        <w:br/>
        <w:t>WorkCover Queensland</w:t>
      </w:r>
    </w:p>
    <w:p w14:paraId="3C7F60D0" w14:textId="77777777" w:rsidR="002E4A02" w:rsidRPr="00DD1045" w:rsidRDefault="002E4A02" w:rsidP="002E4A02"/>
    <w:p w14:paraId="2AB22980" w14:textId="77777777" w:rsidR="002E4A02" w:rsidRPr="00DD1045" w:rsidRDefault="002E4A02" w:rsidP="002E4A02"/>
    <w:p w14:paraId="0D1C6A45" w14:textId="77777777" w:rsidR="002E4A02" w:rsidRPr="00DD1045" w:rsidRDefault="002E4A02">
      <w:r w:rsidRPr="00DD1045">
        <w:br w:type="page"/>
      </w:r>
    </w:p>
    <w:p w14:paraId="18CB2CE5" w14:textId="7FA58CED" w:rsidR="002E4A02" w:rsidRPr="00DD1045" w:rsidRDefault="002E4A02" w:rsidP="002E4A02">
      <w:pPr>
        <w:pStyle w:val="ARMainTitle"/>
        <w:pBdr>
          <w:bottom w:val="single" w:sz="4" w:space="1" w:color="auto"/>
        </w:pBdr>
      </w:pPr>
      <w:bookmarkStart w:id="6" w:name="_Toc172009617"/>
      <w:r w:rsidRPr="00DD1045">
        <w:lastRenderedPageBreak/>
        <w:t>About WorkCover Queensland</w:t>
      </w:r>
      <w:bookmarkEnd w:id="6"/>
    </w:p>
    <w:p w14:paraId="0E195319" w14:textId="77777777" w:rsidR="005B6524" w:rsidRPr="00DD1045" w:rsidRDefault="005B6524" w:rsidP="35758306">
      <w:pPr>
        <w:pStyle w:val="ARHeading1"/>
        <w:sectPr w:rsidR="005B6524" w:rsidRPr="00DD1045" w:rsidSect="0012721E">
          <w:type w:val="continuous"/>
          <w:pgSz w:w="11906" w:h="16838"/>
          <w:pgMar w:top="1440" w:right="1440" w:bottom="1440" w:left="1440" w:header="708" w:footer="708" w:gutter="0"/>
          <w:cols w:space="708"/>
          <w:docGrid w:linePitch="360"/>
        </w:sectPr>
      </w:pPr>
    </w:p>
    <w:p w14:paraId="683351FA" w14:textId="48A3B6FC" w:rsidR="000A0605" w:rsidRPr="00DD1045" w:rsidRDefault="00083676" w:rsidP="00D109CD">
      <w:pPr>
        <w:pStyle w:val="ARSub-heading2"/>
      </w:pPr>
      <w:bookmarkStart w:id="7" w:name="_Toc172009618"/>
      <w:r w:rsidRPr="00DD1045">
        <w:t>We</w:t>
      </w:r>
      <w:r w:rsidR="000A0605" w:rsidRPr="00DD1045">
        <w:t xml:space="preserve"> ha</w:t>
      </w:r>
      <w:r w:rsidRPr="00DD1045">
        <w:t>ve</w:t>
      </w:r>
      <w:r w:rsidR="000A0605" w:rsidRPr="00DD1045">
        <w:t xml:space="preserve"> been providing workers’ compensation insurance in Queensland for </w:t>
      </w:r>
      <w:r w:rsidR="0055343F">
        <w:t>over</w:t>
      </w:r>
      <w:r w:rsidR="000A0605" w:rsidRPr="00DD1045">
        <w:t xml:space="preserve"> 25 years to m</w:t>
      </w:r>
      <w:r w:rsidR="000A0605" w:rsidRPr="005F1F60">
        <w:t>ore</w:t>
      </w:r>
      <w:r w:rsidR="000A0605" w:rsidRPr="00DD1045">
        <w:t xml:space="preserve"> </w:t>
      </w:r>
      <w:r w:rsidR="000A0605" w:rsidRPr="00F656BD">
        <w:t xml:space="preserve">than </w:t>
      </w:r>
      <w:r w:rsidR="000A0605" w:rsidRPr="00F9633B">
        <w:t>17</w:t>
      </w:r>
      <w:r w:rsidR="00383E96" w:rsidRPr="00F9633B">
        <w:t>5</w:t>
      </w:r>
      <w:r w:rsidR="000A0605" w:rsidRPr="00F9633B">
        <w:t>,000</w:t>
      </w:r>
      <w:r w:rsidR="000A0605" w:rsidRPr="000372A1">
        <w:rPr>
          <w:highlight w:val="cyan"/>
        </w:rPr>
        <w:t xml:space="preserve"> </w:t>
      </w:r>
      <w:r w:rsidR="000A0605" w:rsidRPr="000372A1">
        <w:t>businesses.</w:t>
      </w:r>
      <w:bookmarkEnd w:id="7"/>
    </w:p>
    <w:p w14:paraId="5F1DDBEB" w14:textId="77777777" w:rsidR="00582094" w:rsidRPr="00DD1045" w:rsidRDefault="00582094" w:rsidP="00D109CD">
      <w:r w:rsidRPr="00DD1045">
        <w:t>Supporting Queensland workers and businesses is at the heart of everything we do, from customer service and managing claims, to accessing rehabilitation, and making sure employers have insurance in place to protect their workers.</w:t>
      </w:r>
    </w:p>
    <w:p w14:paraId="471C018A" w14:textId="13E13D71" w:rsidR="00582094" w:rsidRPr="00DD1045" w:rsidRDefault="00582094" w:rsidP="00D109CD">
      <w:r w:rsidRPr="00DD1045">
        <w:t>The most important thing for us is keeping Queenslanders working</w:t>
      </w:r>
      <w:r w:rsidR="00083676" w:rsidRPr="00DD1045">
        <w:t xml:space="preserve"> and we understand everyone’s needs are different. We work to make sure </w:t>
      </w:r>
      <w:r w:rsidR="00916C03" w:rsidRPr="00DD1045">
        <w:t xml:space="preserve">all individuals </w:t>
      </w:r>
      <w:r w:rsidR="00083676" w:rsidRPr="00DD1045">
        <w:t>get</w:t>
      </w:r>
      <w:r w:rsidR="00916C03" w:rsidRPr="00DD1045">
        <w:t xml:space="preserve"> </w:t>
      </w:r>
      <w:r w:rsidR="00083676" w:rsidRPr="00DD1045">
        <w:t>the best outcome for their situation.</w:t>
      </w:r>
    </w:p>
    <w:p w14:paraId="5FF8DDE6" w14:textId="77777777" w:rsidR="00083676" w:rsidRPr="00DD1045" w:rsidRDefault="00083676" w:rsidP="00D109CD">
      <w:r w:rsidRPr="00DD1045">
        <w:t>We are committed to balancing employer and worker needs. We aim to keep premiums low for employers, while also supporting injured workers with their recovery and return to work.</w:t>
      </w:r>
    </w:p>
    <w:p w14:paraId="43E6055B" w14:textId="77777777" w:rsidR="00BD21C2" w:rsidRPr="00DD1045" w:rsidRDefault="00BD21C2" w:rsidP="00D109CD">
      <w:pPr>
        <w:sectPr w:rsidR="00BD21C2" w:rsidRPr="00DD1045" w:rsidSect="0012721E">
          <w:type w:val="continuous"/>
          <w:pgSz w:w="11906" w:h="16838"/>
          <w:pgMar w:top="1440" w:right="1440" w:bottom="1440" w:left="1440" w:header="708" w:footer="708" w:gutter="0"/>
          <w:cols w:num="2" w:space="708"/>
          <w:docGrid w:linePitch="360"/>
        </w:sectPr>
      </w:pPr>
    </w:p>
    <w:p w14:paraId="3AD7A61A" w14:textId="77777777" w:rsidR="00916C03" w:rsidRPr="00DD1045" w:rsidRDefault="00916C03" w:rsidP="00D109CD"/>
    <w:p w14:paraId="7E0BFBBF" w14:textId="2BB23681" w:rsidR="00916C03" w:rsidRPr="00DD1045" w:rsidRDefault="00916C03" w:rsidP="00916C03">
      <w:pPr>
        <w:pStyle w:val="ARHeading1"/>
      </w:pPr>
      <w:bookmarkStart w:id="8" w:name="_Toc172009619"/>
      <w:r w:rsidRPr="00DD1045">
        <w:t>Working together</w:t>
      </w:r>
      <w:bookmarkEnd w:id="8"/>
    </w:p>
    <w:p w14:paraId="5F5C9E5F" w14:textId="77777777" w:rsidR="00916C03" w:rsidRPr="00DD1045" w:rsidRDefault="00606D31" w:rsidP="00916C03">
      <w:r w:rsidRPr="00DD1045">
        <w:t>WorkCover Queensland (WorkCover) partners with various government agencies and key stakeholders to give Queensland businesses and the broader community efficient access to specialist advice on workers’ compensation matters, rehabilitation, and return to 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0"/>
        <w:gridCol w:w="5896"/>
      </w:tblGrid>
      <w:tr w:rsidR="001355B9" w:rsidRPr="00DD1045" w14:paraId="193A4F09" w14:textId="77777777" w:rsidTr="2338D061">
        <w:trPr>
          <w:trHeight w:val="1250"/>
        </w:trPr>
        <w:tc>
          <w:tcPr>
            <w:tcW w:w="3110" w:type="dxa"/>
            <w:tcBorders>
              <w:bottom w:val="single" w:sz="4" w:space="0" w:color="D0CECE" w:themeColor="background2" w:themeShade="E6"/>
            </w:tcBorders>
            <w:vAlign w:val="center"/>
          </w:tcPr>
          <w:p w14:paraId="1707833F" w14:textId="1552E679" w:rsidR="001355B9" w:rsidRPr="00DD1045" w:rsidRDefault="001355B9" w:rsidP="008F5D7D">
            <w:pPr>
              <w:rPr>
                <w:b/>
                <w:bCs/>
              </w:rPr>
            </w:pPr>
            <w:r w:rsidRPr="00DD1045">
              <w:rPr>
                <w:b/>
                <w:bCs/>
              </w:rPr>
              <w:t>Min</w:t>
            </w:r>
            <w:r w:rsidR="000814AB">
              <w:rPr>
                <w:b/>
                <w:bCs/>
              </w:rPr>
              <w:t>i</w:t>
            </w:r>
            <w:r w:rsidRPr="00DD1045">
              <w:rPr>
                <w:b/>
                <w:bCs/>
              </w:rPr>
              <w:t xml:space="preserve">ster for </w:t>
            </w:r>
            <w:r w:rsidR="005F1F60" w:rsidRPr="00C266E5">
              <w:rPr>
                <w:b/>
              </w:rPr>
              <w:t>State Development and Infrastructure</w:t>
            </w:r>
            <w:r w:rsidRPr="00C266E5">
              <w:rPr>
                <w:b/>
              </w:rPr>
              <w:t xml:space="preserve">, </w:t>
            </w:r>
            <w:r w:rsidRPr="00C266E5">
              <w:rPr>
                <w:b/>
              </w:rPr>
              <w:br/>
              <w:t>Minister for Industrial Relations and Minister for Racing</w:t>
            </w:r>
          </w:p>
        </w:tc>
        <w:tc>
          <w:tcPr>
            <w:tcW w:w="5896" w:type="dxa"/>
            <w:tcBorders>
              <w:bottom w:val="single" w:sz="4" w:space="0" w:color="D0CECE" w:themeColor="background2" w:themeShade="E6"/>
            </w:tcBorders>
            <w:vAlign w:val="center"/>
          </w:tcPr>
          <w:p w14:paraId="1642BC31" w14:textId="0D0F3BDE" w:rsidR="001355B9" w:rsidRPr="00DD1045" w:rsidRDefault="001355B9" w:rsidP="008F5D7D">
            <w:r w:rsidRPr="00DD1045">
              <w:t>Develops workers’ compensation and workplace health and safety legislation</w:t>
            </w:r>
            <w:r w:rsidR="008F5D7D" w:rsidRPr="00DD1045">
              <w:t>.</w:t>
            </w:r>
          </w:p>
        </w:tc>
      </w:tr>
      <w:tr w:rsidR="001355B9" w:rsidRPr="00DD1045" w14:paraId="413AF1C2" w14:textId="77777777" w:rsidTr="2338D061">
        <w:trPr>
          <w:trHeight w:val="5400"/>
        </w:trPr>
        <w:tc>
          <w:tcPr>
            <w:tcW w:w="3110" w:type="dxa"/>
            <w:tcBorders>
              <w:top w:val="single" w:sz="4" w:space="0" w:color="D0CECE" w:themeColor="background2" w:themeShade="E6"/>
              <w:bottom w:val="single" w:sz="4" w:space="0" w:color="D0CECE" w:themeColor="background2" w:themeShade="E6"/>
            </w:tcBorders>
            <w:vAlign w:val="center"/>
          </w:tcPr>
          <w:p w14:paraId="6CF6DEB0" w14:textId="53DDCBEC" w:rsidR="001355B9" w:rsidRPr="00DD1045" w:rsidRDefault="001355B9" w:rsidP="008F5D7D">
            <w:pPr>
              <w:rPr>
                <w:b/>
                <w:bCs/>
              </w:rPr>
            </w:pPr>
            <w:r w:rsidRPr="00DD1045">
              <w:rPr>
                <w:b/>
                <w:bCs/>
              </w:rPr>
              <w:t>Office of Industrial Relations</w:t>
            </w:r>
          </w:p>
        </w:tc>
        <w:tc>
          <w:tcPr>
            <w:tcW w:w="5896" w:type="dxa"/>
            <w:tcBorders>
              <w:top w:val="single" w:sz="4" w:space="0" w:color="D0CECE" w:themeColor="background2" w:themeShade="E6"/>
              <w:bottom w:val="single" w:sz="4" w:space="0" w:color="D0CECE" w:themeColor="background2" w:themeShade="E6"/>
            </w:tcBorders>
            <w:vAlign w:val="center"/>
          </w:tcPr>
          <w:p w14:paraId="28BA1855" w14:textId="3BBE3B3B" w:rsidR="001355B9" w:rsidRPr="00DD1045" w:rsidRDefault="00CF31CB" w:rsidP="008F5D7D">
            <w:pPr>
              <w:rPr>
                <w:b/>
                <w:bCs/>
              </w:rPr>
            </w:pPr>
            <w:r w:rsidRPr="00DD1045">
              <w:rPr>
                <w:b/>
                <w:bCs/>
              </w:rPr>
              <w:t xml:space="preserve">Workplace Health and Safety Queensland </w:t>
            </w:r>
            <w:r w:rsidRPr="00BC7767">
              <w:rPr>
                <w:b/>
                <w:bCs/>
              </w:rPr>
              <w:t>(W</w:t>
            </w:r>
            <w:r w:rsidR="6780E68B" w:rsidRPr="00BC7767">
              <w:rPr>
                <w:b/>
                <w:bCs/>
              </w:rPr>
              <w:t>H</w:t>
            </w:r>
            <w:r w:rsidRPr="00BC7767">
              <w:rPr>
                <w:b/>
                <w:bCs/>
              </w:rPr>
              <w:t>SQ)</w:t>
            </w:r>
          </w:p>
          <w:p w14:paraId="09E5D4D4" w14:textId="1DA11BD7" w:rsidR="00CF31CB" w:rsidRPr="00DD1045" w:rsidRDefault="1E2ADDC8" w:rsidP="008F5D7D">
            <w:r>
              <w:t>Enforces workplace health and safety laws and educate</w:t>
            </w:r>
            <w:r w:rsidR="487ECBAB">
              <w:t>s</w:t>
            </w:r>
            <w:r>
              <w:t xml:space="preserve"> stakeholders on their legal obligations</w:t>
            </w:r>
            <w:r w:rsidR="7B36EF3F">
              <w:t>.</w:t>
            </w:r>
          </w:p>
          <w:p w14:paraId="2DFA04E0" w14:textId="77777777" w:rsidR="00CF31CB" w:rsidRPr="00DD1045" w:rsidRDefault="00CF31CB" w:rsidP="008F5D7D"/>
          <w:p w14:paraId="4512ED1B" w14:textId="77777777" w:rsidR="00CF31CB" w:rsidRPr="00DD1045" w:rsidRDefault="00CF31CB" w:rsidP="008F5D7D">
            <w:pPr>
              <w:rPr>
                <w:b/>
                <w:bCs/>
              </w:rPr>
            </w:pPr>
            <w:r w:rsidRPr="00DD1045">
              <w:rPr>
                <w:b/>
                <w:bCs/>
              </w:rPr>
              <w:t>Workers’ Compensation Regulatory Services (</w:t>
            </w:r>
            <w:r w:rsidRPr="00BC7767">
              <w:rPr>
                <w:b/>
                <w:bCs/>
              </w:rPr>
              <w:t>WCRS)</w:t>
            </w:r>
          </w:p>
          <w:p w14:paraId="71687F13" w14:textId="23D213A6" w:rsidR="00CF31CB" w:rsidRPr="00DD1045" w:rsidRDefault="00CF31CB" w:rsidP="008F5D7D">
            <w:r w:rsidRPr="00DD1045">
              <w:t>Regulates the Queensland workers’ compensation scheme, including self-insurers</w:t>
            </w:r>
            <w:r w:rsidR="00A934E1">
              <w:t>,</w:t>
            </w:r>
            <w:r w:rsidRPr="00DD1045">
              <w:t xml:space="preserve"> and is a facilitator of legal and medical resolutions, and an educator and promotor of the scheme on behalf of all stakeholders</w:t>
            </w:r>
            <w:r w:rsidR="008F5D7D" w:rsidRPr="00DD1045">
              <w:t>.</w:t>
            </w:r>
          </w:p>
          <w:p w14:paraId="3A649A50" w14:textId="77777777" w:rsidR="00CF31CB" w:rsidRPr="00DD1045" w:rsidRDefault="00CF31CB" w:rsidP="008F5D7D"/>
          <w:p w14:paraId="5C3C7608" w14:textId="77777777" w:rsidR="00CF31CB" w:rsidRPr="00DD1045" w:rsidRDefault="00CF31CB" w:rsidP="008F5D7D">
            <w:pPr>
              <w:rPr>
                <w:b/>
                <w:bCs/>
              </w:rPr>
            </w:pPr>
            <w:r w:rsidRPr="00DD1045">
              <w:rPr>
                <w:b/>
                <w:bCs/>
              </w:rPr>
              <w:t>The Electrical Safety office</w:t>
            </w:r>
          </w:p>
          <w:p w14:paraId="55C9FEA5" w14:textId="1794FC06" w:rsidR="00CF31CB" w:rsidRPr="00DD1045" w:rsidRDefault="00CF31CB" w:rsidP="008F5D7D">
            <w:r w:rsidRPr="00DD1045">
              <w:t>Develops and enforces legislative and compliance standards to improve electrical safety</w:t>
            </w:r>
            <w:r w:rsidR="008F5D7D" w:rsidRPr="00DD1045">
              <w:t>.</w:t>
            </w:r>
          </w:p>
        </w:tc>
      </w:tr>
      <w:tr w:rsidR="001355B9" w:rsidRPr="00DD1045" w14:paraId="15B3FD65" w14:textId="77777777" w:rsidTr="2338D061">
        <w:trPr>
          <w:trHeight w:val="838"/>
        </w:trPr>
        <w:tc>
          <w:tcPr>
            <w:tcW w:w="3110" w:type="dxa"/>
            <w:tcBorders>
              <w:top w:val="single" w:sz="4" w:space="0" w:color="D0CECE" w:themeColor="background2" w:themeShade="E6"/>
            </w:tcBorders>
            <w:vAlign w:val="center"/>
          </w:tcPr>
          <w:p w14:paraId="0D5975F2" w14:textId="3E25760B" w:rsidR="001355B9" w:rsidRPr="00DD1045" w:rsidRDefault="001355B9" w:rsidP="008F5D7D">
            <w:pPr>
              <w:rPr>
                <w:b/>
                <w:bCs/>
              </w:rPr>
            </w:pPr>
            <w:r w:rsidRPr="00DD1045">
              <w:rPr>
                <w:b/>
                <w:bCs/>
              </w:rPr>
              <w:t>WorkCover Queensland</w:t>
            </w:r>
          </w:p>
        </w:tc>
        <w:tc>
          <w:tcPr>
            <w:tcW w:w="5896" w:type="dxa"/>
            <w:tcBorders>
              <w:top w:val="single" w:sz="4" w:space="0" w:color="D0CECE" w:themeColor="background2" w:themeShade="E6"/>
            </w:tcBorders>
            <w:vAlign w:val="center"/>
          </w:tcPr>
          <w:p w14:paraId="3C0E8FEB" w14:textId="19EF9788" w:rsidR="001355B9" w:rsidRPr="00DD1045" w:rsidRDefault="00CF31CB" w:rsidP="008F5D7D">
            <w:r w:rsidRPr="00DD1045">
              <w:t xml:space="preserve">Provides and manages workers’ compensation </w:t>
            </w:r>
            <w:r w:rsidR="008F5D7D" w:rsidRPr="00DD1045">
              <w:t>insurance for Queensland employers and workers.</w:t>
            </w:r>
          </w:p>
        </w:tc>
      </w:tr>
    </w:tbl>
    <w:p w14:paraId="150532AE" w14:textId="1DE37FBA" w:rsidR="001355B9" w:rsidRPr="00DD1045" w:rsidRDefault="001355B9" w:rsidP="00916C03">
      <w:pPr>
        <w:sectPr w:rsidR="001355B9" w:rsidRPr="00DD1045" w:rsidSect="0012721E">
          <w:type w:val="continuous"/>
          <w:pgSz w:w="11906" w:h="16838"/>
          <w:pgMar w:top="1440" w:right="1440" w:bottom="1440" w:left="1440" w:header="708" w:footer="708" w:gutter="0"/>
          <w:cols w:space="708"/>
          <w:docGrid w:linePitch="360"/>
        </w:sectPr>
      </w:pPr>
    </w:p>
    <w:p w14:paraId="775AE8B0" w14:textId="765AD0B2" w:rsidR="00D109CD" w:rsidRPr="00DD1045" w:rsidRDefault="00D109CD" w:rsidP="00D109CD">
      <w:pPr>
        <w:sectPr w:rsidR="00D109CD" w:rsidRPr="00DD1045" w:rsidSect="0012721E">
          <w:type w:val="continuous"/>
          <w:pgSz w:w="11906" w:h="16838"/>
          <w:pgMar w:top="1440" w:right="1440" w:bottom="1440" w:left="1440" w:header="708" w:footer="708" w:gutter="0"/>
          <w:cols w:space="708"/>
          <w:docGrid w:linePitch="360"/>
        </w:sectPr>
      </w:pPr>
    </w:p>
    <w:p w14:paraId="70AE9C55" w14:textId="2DBA8955" w:rsidR="02F95856" w:rsidRPr="00DD1045" w:rsidRDefault="02F95856" w:rsidP="35758306">
      <w:pPr>
        <w:pStyle w:val="ARHeading1"/>
      </w:pPr>
      <w:bookmarkStart w:id="9" w:name="_Toc172009620"/>
      <w:r w:rsidRPr="00DD1045">
        <w:lastRenderedPageBreak/>
        <w:t>Our vision</w:t>
      </w:r>
      <w:bookmarkEnd w:id="9"/>
    </w:p>
    <w:p w14:paraId="38A9B19B" w14:textId="2B37BBE7" w:rsidR="02F95856" w:rsidRPr="00DD1045" w:rsidRDefault="02F95856" w:rsidP="00973BC0">
      <w:r w:rsidRPr="00DD1045">
        <w:t>To</w:t>
      </w:r>
      <w:r w:rsidR="00973BC0" w:rsidRPr="00DD1045">
        <w:t xml:space="preserve"> be the best workers’ compensation insurer and make a positive difference to people’s lives.</w:t>
      </w:r>
    </w:p>
    <w:p w14:paraId="5FE754DC" w14:textId="77777777" w:rsidR="004B2453" w:rsidRPr="00DD1045" w:rsidRDefault="004B2453" w:rsidP="00973BC0"/>
    <w:p w14:paraId="63AB1928" w14:textId="3370287A" w:rsidR="00973BC0" w:rsidRPr="00DD1045" w:rsidRDefault="00973BC0" w:rsidP="00973BC0">
      <w:pPr>
        <w:pStyle w:val="ARHeading1"/>
      </w:pPr>
      <w:bookmarkStart w:id="10" w:name="_Toc172009621"/>
      <w:r w:rsidRPr="00DD1045">
        <w:t xml:space="preserve">Our </w:t>
      </w:r>
      <w:r w:rsidR="00C71161" w:rsidRPr="00DD1045">
        <w:t>purpose</w:t>
      </w:r>
      <w:bookmarkEnd w:id="10"/>
    </w:p>
    <w:p w14:paraId="35F0EF05" w14:textId="0FB052BF" w:rsidR="00973BC0" w:rsidRPr="00DD1045" w:rsidRDefault="00171421" w:rsidP="00973BC0">
      <w:r w:rsidRPr="00DD1045">
        <w:t>We partner with an</w:t>
      </w:r>
      <w:r w:rsidR="00C56A76" w:rsidRPr="00DD1045">
        <w:t>d</w:t>
      </w:r>
      <w:r w:rsidRPr="00DD1045">
        <w:t xml:space="preserve"> support our customers to keep Queenslanders working, through:</w:t>
      </w:r>
    </w:p>
    <w:p w14:paraId="05E78BD2" w14:textId="5D624964" w:rsidR="00171421" w:rsidRPr="00DD1045" w:rsidRDefault="005C1830" w:rsidP="00C73276">
      <w:pPr>
        <w:pStyle w:val="ARDotpoints"/>
        <w:numPr>
          <w:ilvl w:val="0"/>
          <w:numId w:val="3"/>
        </w:numPr>
        <w:ind w:left="584" w:hanging="357"/>
      </w:pPr>
      <w:r w:rsidRPr="00DD1045">
        <w:t>Trusted partnerships which underpin our focus on return to work outcomes</w:t>
      </w:r>
    </w:p>
    <w:p w14:paraId="738D9E0B" w14:textId="7BFED7CF" w:rsidR="005C1830" w:rsidRPr="00DD1045" w:rsidRDefault="005C1830" w:rsidP="00C73276">
      <w:pPr>
        <w:pStyle w:val="ARDotpoints"/>
        <w:numPr>
          <w:ilvl w:val="0"/>
          <w:numId w:val="3"/>
        </w:numPr>
        <w:ind w:left="584" w:hanging="357"/>
      </w:pPr>
      <w:r w:rsidRPr="00DD1045">
        <w:t>Tailored quality experiences for workers and employers</w:t>
      </w:r>
    </w:p>
    <w:p w14:paraId="6CA6D5C8" w14:textId="1E790C36" w:rsidR="005C1830" w:rsidRPr="00DD1045" w:rsidRDefault="00D563B1" w:rsidP="00C73276">
      <w:pPr>
        <w:pStyle w:val="ARDotpoints"/>
        <w:numPr>
          <w:ilvl w:val="0"/>
          <w:numId w:val="3"/>
        </w:numPr>
        <w:ind w:left="584" w:hanging="357"/>
      </w:pPr>
      <w:r w:rsidRPr="00DD1045">
        <w:t>Creating value for business through innovative and sustainable outcomes</w:t>
      </w:r>
    </w:p>
    <w:p w14:paraId="0AAA9DCF" w14:textId="153518F4" w:rsidR="004B2453" w:rsidRPr="00DD1045" w:rsidRDefault="00D563B1" w:rsidP="00C73276">
      <w:pPr>
        <w:pStyle w:val="ARDotpoints"/>
        <w:numPr>
          <w:ilvl w:val="0"/>
          <w:numId w:val="3"/>
        </w:numPr>
        <w:ind w:left="584" w:hanging="357"/>
      </w:pPr>
      <w:r w:rsidRPr="00DD1045">
        <w:t>Influencing and investing in injury risk reduction.</w:t>
      </w:r>
    </w:p>
    <w:p w14:paraId="6F949CE9" w14:textId="4579F797" w:rsidR="00C71161" w:rsidRPr="00DD1045" w:rsidRDefault="00C71161" w:rsidP="00C71161">
      <w:pPr>
        <w:pStyle w:val="ARHeading1"/>
      </w:pPr>
      <w:bookmarkStart w:id="11" w:name="_Toc172009622"/>
      <w:r w:rsidRPr="00DD1045">
        <w:t>Our values</w:t>
      </w:r>
      <w:bookmarkEnd w:id="11"/>
    </w:p>
    <w:p w14:paraId="33548B16" w14:textId="59CC3CC0" w:rsidR="00C71161" w:rsidRPr="00DD1045" w:rsidRDefault="00C56A76" w:rsidP="00C71161">
      <w:r w:rsidRPr="00DD1045">
        <w:rPr>
          <w:b/>
          <w:bCs/>
        </w:rPr>
        <w:t>Excellence:</w:t>
      </w:r>
      <w:r w:rsidRPr="00DD1045">
        <w:t xml:space="preserve"> </w:t>
      </w:r>
      <w:r w:rsidR="00213EA1" w:rsidRPr="00DD1045">
        <w:t xml:space="preserve">To deliver </w:t>
      </w:r>
      <w:r w:rsidR="00ED7A7E" w:rsidRPr="00DD1045">
        <w:t>outcomes that are highly valued by our customers</w:t>
      </w:r>
      <w:r w:rsidR="00E66AF5" w:rsidRPr="00DD1045">
        <w:t>.</w:t>
      </w:r>
    </w:p>
    <w:p w14:paraId="74F3B6DB" w14:textId="0B437CFA" w:rsidR="00ED7A7E" w:rsidRPr="00DD1045" w:rsidRDefault="00ED7A7E" w:rsidP="00C71161">
      <w:r w:rsidRPr="00DD1045">
        <w:rPr>
          <w:b/>
          <w:bCs/>
        </w:rPr>
        <w:t>Integrity:</w:t>
      </w:r>
      <w:r w:rsidRPr="00DD1045">
        <w:t xml:space="preserve"> To always do the right thing</w:t>
      </w:r>
      <w:r w:rsidR="00E66AF5" w:rsidRPr="00DD1045">
        <w:t>.</w:t>
      </w:r>
    </w:p>
    <w:p w14:paraId="6E0F3F35" w14:textId="371E3386" w:rsidR="00ED7A7E" w:rsidRPr="00DD1045" w:rsidRDefault="00ED7A7E" w:rsidP="00C71161">
      <w:r w:rsidRPr="00DD1045">
        <w:rPr>
          <w:b/>
          <w:bCs/>
        </w:rPr>
        <w:t>Responsiveness:</w:t>
      </w:r>
      <w:r w:rsidRPr="00DD1045">
        <w:t xml:space="preserve"> </w:t>
      </w:r>
      <w:r w:rsidR="00773F89" w:rsidRPr="00DD1045">
        <w:t>To provide an experience that meets the individual needs of our customers</w:t>
      </w:r>
      <w:r w:rsidR="00E66AF5" w:rsidRPr="00DD1045">
        <w:t>.</w:t>
      </w:r>
    </w:p>
    <w:p w14:paraId="0D88BF90" w14:textId="11737A9E" w:rsidR="00773F89" w:rsidRDefault="00773F89" w:rsidP="00C71161">
      <w:r w:rsidRPr="00DD1045">
        <w:rPr>
          <w:b/>
          <w:bCs/>
        </w:rPr>
        <w:t>Respec</w:t>
      </w:r>
      <w:r w:rsidR="00E66AF5" w:rsidRPr="00DD1045">
        <w:rPr>
          <w:b/>
          <w:bCs/>
        </w:rPr>
        <w:t>t:</w:t>
      </w:r>
      <w:r w:rsidR="00E66AF5" w:rsidRPr="00DD1045">
        <w:t xml:space="preserve"> To be considerate of the rights and dignity of everyone.</w:t>
      </w:r>
    </w:p>
    <w:p w14:paraId="0C20CBF7" w14:textId="77777777" w:rsidR="000234B0" w:rsidRPr="00DD1045" w:rsidRDefault="000234B0" w:rsidP="00C71161"/>
    <w:p w14:paraId="6D876E51" w14:textId="77777777" w:rsidR="004654D8" w:rsidRPr="00DD1045" w:rsidRDefault="004654D8" w:rsidP="00C71161"/>
    <w:p w14:paraId="39F31F08" w14:textId="77777777" w:rsidR="004654D8" w:rsidRPr="00DD1045" w:rsidRDefault="004654D8" w:rsidP="00C71161"/>
    <w:p w14:paraId="23762833" w14:textId="77777777" w:rsidR="004654D8" w:rsidRPr="00DD1045" w:rsidRDefault="004654D8" w:rsidP="00C71161"/>
    <w:p w14:paraId="6440FBD7" w14:textId="77777777" w:rsidR="004654D8" w:rsidRPr="00DD1045" w:rsidRDefault="004654D8" w:rsidP="00C71161"/>
    <w:p w14:paraId="23B1AFD3" w14:textId="77777777" w:rsidR="004654D8" w:rsidRPr="00DD1045" w:rsidRDefault="004654D8" w:rsidP="00C71161"/>
    <w:p w14:paraId="6DEC75E6" w14:textId="77777777" w:rsidR="004B2453" w:rsidRPr="00DD1045" w:rsidRDefault="004B2453" w:rsidP="00C71161"/>
    <w:p w14:paraId="5BAEA07D" w14:textId="77777777" w:rsidR="004654D8" w:rsidRPr="00DD1045" w:rsidRDefault="004654D8" w:rsidP="007534C9">
      <w:pPr>
        <w:pStyle w:val="ARHeading1"/>
        <w:sectPr w:rsidR="004654D8" w:rsidRPr="00DD1045" w:rsidSect="0012721E">
          <w:type w:val="continuous"/>
          <w:pgSz w:w="11906" w:h="16838"/>
          <w:pgMar w:top="1440" w:right="1440" w:bottom="1440" w:left="1440" w:header="708" w:footer="708" w:gutter="0"/>
          <w:cols w:num="2" w:space="708"/>
          <w:docGrid w:linePitch="360"/>
        </w:sectPr>
      </w:pPr>
    </w:p>
    <w:p w14:paraId="5B11A801" w14:textId="798A35F1" w:rsidR="007534C9" w:rsidRPr="00DD1045" w:rsidRDefault="007534C9" w:rsidP="007534C9">
      <w:pPr>
        <w:pStyle w:val="ARHeading1"/>
      </w:pPr>
      <w:bookmarkStart w:id="12" w:name="_Toc172009623"/>
      <w:r w:rsidRPr="00DD1045">
        <w:t>Our goals</w:t>
      </w:r>
      <w:r w:rsidR="000326E9" w:rsidRPr="00DD1045">
        <w:t xml:space="preserve"> and performance indicators</w:t>
      </w:r>
      <w:bookmarkEnd w:id="12"/>
    </w:p>
    <w:tbl>
      <w:tblPr>
        <w:tblStyle w:val="TableGrid"/>
        <w:tblW w:w="9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503"/>
      </w:tblGrid>
      <w:tr w:rsidR="004654D8" w:rsidRPr="00DD1045" w14:paraId="1B241C03" w14:textId="77777777" w:rsidTr="000315BA">
        <w:trPr>
          <w:trHeight w:val="1711"/>
        </w:trPr>
        <w:tc>
          <w:tcPr>
            <w:tcW w:w="4503" w:type="dxa"/>
            <w:tcBorders>
              <w:bottom w:val="single" w:sz="4" w:space="0" w:color="D0CECE" w:themeColor="background2" w:themeShade="E6"/>
              <w:right w:val="single" w:sz="4" w:space="0" w:color="D0CECE" w:themeColor="background2" w:themeShade="E6"/>
            </w:tcBorders>
            <w:vAlign w:val="center"/>
          </w:tcPr>
          <w:p w14:paraId="302FE780" w14:textId="77777777" w:rsidR="00E20E0E" w:rsidRPr="00DD1045" w:rsidRDefault="00E20E0E" w:rsidP="00E20E0E">
            <w:pPr>
              <w:pStyle w:val="ARSub-heading2"/>
            </w:pPr>
            <w:bookmarkStart w:id="13" w:name="_Toc172009624"/>
            <w:r w:rsidRPr="00DD1045">
              <w:t>Purpose-driven culture</w:t>
            </w:r>
            <w:bookmarkEnd w:id="13"/>
          </w:p>
          <w:p w14:paraId="3F64887D" w14:textId="13732193" w:rsidR="004654D8" w:rsidRPr="00DD1045" w:rsidRDefault="00E20E0E" w:rsidP="00E20E0E">
            <w:r w:rsidRPr="00DD1045">
              <w:t>Inspire our people to be open to learning and growing to achieve our strategy</w:t>
            </w:r>
          </w:p>
        </w:tc>
        <w:tc>
          <w:tcPr>
            <w:tcW w:w="4503" w:type="dxa"/>
            <w:tcBorders>
              <w:left w:val="single" w:sz="4" w:space="0" w:color="D0CECE" w:themeColor="background2" w:themeShade="E6"/>
              <w:bottom w:val="single" w:sz="4" w:space="0" w:color="D0CECE" w:themeColor="background2" w:themeShade="E6"/>
            </w:tcBorders>
            <w:vAlign w:val="center"/>
          </w:tcPr>
          <w:p w14:paraId="15123CBA" w14:textId="77777777" w:rsidR="00E20E0E" w:rsidRPr="00DD1045" w:rsidRDefault="00E20E0E" w:rsidP="00E20E0E">
            <w:pPr>
              <w:pStyle w:val="ARSub-heading2"/>
            </w:pPr>
            <w:bookmarkStart w:id="14" w:name="_Toc172009625"/>
            <w:r w:rsidRPr="00DD1045">
              <w:t>Operational excellence</w:t>
            </w:r>
            <w:bookmarkEnd w:id="14"/>
          </w:p>
          <w:p w14:paraId="0ED4F768" w14:textId="729B9030" w:rsidR="004654D8" w:rsidRPr="00DD1045" w:rsidRDefault="00E20E0E" w:rsidP="00E20E0E">
            <w:r w:rsidRPr="00DD1045">
              <w:t>Improve how we work to maximise value for our customers and our stakeholders</w:t>
            </w:r>
          </w:p>
        </w:tc>
      </w:tr>
      <w:tr w:rsidR="004654D8" w:rsidRPr="00DD1045" w14:paraId="311A312B" w14:textId="77777777" w:rsidTr="000315BA">
        <w:trPr>
          <w:trHeight w:val="1727"/>
        </w:trPr>
        <w:tc>
          <w:tcPr>
            <w:tcW w:w="4503" w:type="dxa"/>
            <w:tcBorders>
              <w:top w:val="single" w:sz="4" w:space="0" w:color="D0CECE" w:themeColor="background2" w:themeShade="E6"/>
              <w:right w:val="single" w:sz="4" w:space="0" w:color="D0CECE" w:themeColor="background2" w:themeShade="E6"/>
            </w:tcBorders>
            <w:vAlign w:val="center"/>
          </w:tcPr>
          <w:p w14:paraId="3AADA558" w14:textId="77777777" w:rsidR="00E20E0E" w:rsidRPr="00DD1045" w:rsidRDefault="00E20E0E" w:rsidP="00E20E0E">
            <w:pPr>
              <w:pStyle w:val="ARSub-heading2"/>
            </w:pPr>
            <w:bookmarkStart w:id="15" w:name="_Toc172009626"/>
            <w:r w:rsidRPr="00DD1045">
              <w:t>Digitally innovative</w:t>
            </w:r>
            <w:bookmarkEnd w:id="15"/>
          </w:p>
          <w:p w14:paraId="535360A7" w14:textId="4F12889C" w:rsidR="004654D8" w:rsidRPr="00DD1045" w:rsidRDefault="00E20E0E" w:rsidP="00E20E0E">
            <w:r w:rsidRPr="00DD1045">
              <w:t>Modernise and simplify our technology to serve our customers and our people</w:t>
            </w:r>
          </w:p>
        </w:tc>
        <w:tc>
          <w:tcPr>
            <w:tcW w:w="4503" w:type="dxa"/>
            <w:tcBorders>
              <w:top w:val="single" w:sz="4" w:space="0" w:color="D0CECE" w:themeColor="background2" w:themeShade="E6"/>
              <w:left w:val="single" w:sz="4" w:space="0" w:color="D0CECE" w:themeColor="background2" w:themeShade="E6"/>
            </w:tcBorders>
            <w:vAlign w:val="center"/>
          </w:tcPr>
          <w:p w14:paraId="093BA97D" w14:textId="77777777" w:rsidR="00E20E0E" w:rsidRPr="00DD1045" w:rsidRDefault="00E20E0E" w:rsidP="00E20E0E">
            <w:pPr>
              <w:pStyle w:val="ARSub-heading2"/>
            </w:pPr>
            <w:bookmarkStart w:id="16" w:name="_Toc172009627"/>
            <w:r w:rsidRPr="00DD1045">
              <w:t>Valued experiences</w:t>
            </w:r>
            <w:bookmarkEnd w:id="16"/>
          </w:p>
          <w:p w14:paraId="40AFBE09" w14:textId="5EB77239" w:rsidR="004654D8" w:rsidRPr="00DD1045" w:rsidRDefault="00E20E0E" w:rsidP="00E20E0E">
            <w:r w:rsidRPr="00DD1045">
              <w:t>Care for and support injured workers and employers by engaging collaboratively</w:t>
            </w:r>
          </w:p>
        </w:tc>
      </w:tr>
    </w:tbl>
    <w:p w14:paraId="77B0DC45" w14:textId="5D4EE75B" w:rsidR="000326E9" w:rsidRPr="00DD1045" w:rsidRDefault="000326E9" w:rsidP="00405D55">
      <w:pPr>
        <w:pStyle w:val="ARSub-heading1"/>
      </w:pPr>
      <w:bookmarkStart w:id="17" w:name="_Toc172009628"/>
      <w:r w:rsidRPr="00DD1045">
        <w:t>Performance indicators</w:t>
      </w:r>
      <w:bookmarkEnd w:id="17"/>
    </w:p>
    <w:p w14:paraId="3E6157FA" w14:textId="39CBCC23" w:rsidR="000326E9" w:rsidRPr="00DD1045" w:rsidRDefault="000326E9" w:rsidP="008A4542">
      <w:pPr>
        <w:pStyle w:val="ARDotpoints"/>
        <w:ind w:left="584"/>
      </w:pPr>
      <w:r w:rsidRPr="00DD1045">
        <w:t>Average statutory claim duration (paid days)</w:t>
      </w:r>
    </w:p>
    <w:p w14:paraId="286E7995" w14:textId="282F796A" w:rsidR="000326E9" w:rsidRPr="00DD1045" w:rsidRDefault="000326E9" w:rsidP="008A4542">
      <w:pPr>
        <w:pStyle w:val="ARDotpoints"/>
        <w:ind w:left="584"/>
      </w:pPr>
      <w:r w:rsidRPr="00DD1045">
        <w:t>Average cost of statutory claim</w:t>
      </w:r>
    </w:p>
    <w:p w14:paraId="1544C097" w14:textId="4FA158E4" w:rsidR="000326E9" w:rsidRPr="00DD1045" w:rsidRDefault="000326E9" w:rsidP="008A4542">
      <w:pPr>
        <w:pStyle w:val="ARDotpoints"/>
        <w:ind w:left="584"/>
      </w:pPr>
      <w:r w:rsidRPr="00DD1045">
        <w:t xml:space="preserve">Final return to work </w:t>
      </w:r>
      <w:r w:rsidR="00B27AA8" w:rsidRPr="00DD1045">
        <w:t>(</w:t>
      </w:r>
      <w:r w:rsidR="00B27AA8" w:rsidRPr="00BC7767">
        <w:t>RTW</w:t>
      </w:r>
      <w:r w:rsidR="00B27AA8" w:rsidRPr="00DD1045">
        <w:t>) rate</w:t>
      </w:r>
    </w:p>
    <w:p w14:paraId="429870DC" w14:textId="46EDA436" w:rsidR="00B27AA8" w:rsidRPr="00DD1045" w:rsidRDefault="00B27AA8" w:rsidP="008A4542">
      <w:pPr>
        <w:pStyle w:val="ARDotpoints"/>
        <w:ind w:left="584"/>
      </w:pPr>
      <w:r w:rsidRPr="00DD1045">
        <w:t>Average cost of a common law claim</w:t>
      </w:r>
    </w:p>
    <w:p w14:paraId="0EE42BC1" w14:textId="53D15CD4" w:rsidR="00B27AA8" w:rsidRPr="00DD1045" w:rsidRDefault="00B27AA8" w:rsidP="008A4542">
      <w:pPr>
        <w:pStyle w:val="ARDotpoints"/>
        <w:ind w:left="584"/>
      </w:pPr>
      <w:r w:rsidRPr="00DD1045">
        <w:t>Funding ratio</w:t>
      </w:r>
    </w:p>
    <w:p w14:paraId="1D668DC5" w14:textId="261EB602" w:rsidR="00B27AA8" w:rsidRPr="00DD1045" w:rsidRDefault="00B27AA8" w:rsidP="008A4542">
      <w:pPr>
        <w:pStyle w:val="ARDotpoints"/>
        <w:ind w:left="584"/>
      </w:pPr>
      <w:r w:rsidRPr="00DD1045">
        <w:t>Average net premium rate, after discounts</w:t>
      </w:r>
    </w:p>
    <w:p w14:paraId="0EAE8CB4" w14:textId="65A8A503" w:rsidR="00B72F3E" w:rsidRDefault="00B27AA8" w:rsidP="008A4542">
      <w:pPr>
        <w:pStyle w:val="ARDotpoints"/>
        <w:ind w:left="584"/>
      </w:pPr>
      <w:r w:rsidRPr="00DD1045">
        <w:t>Customer experience measure – injured workers and employers.</w:t>
      </w:r>
    </w:p>
    <w:p w14:paraId="29A56AE6" w14:textId="77777777" w:rsidR="00B562E7" w:rsidRDefault="00B562E7" w:rsidP="00B562E7">
      <w:pPr>
        <w:pStyle w:val="ARDotpoints"/>
        <w:numPr>
          <w:ilvl w:val="0"/>
          <w:numId w:val="0"/>
        </w:numPr>
        <w:ind w:left="786" w:hanging="360"/>
      </w:pPr>
    </w:p>
    <w:p w14:paraId="671056E8" w14:textId="77777777" w:rsidR="00B562E7" w:rsidRPr="00DD1045" w:rsidRDefault="00B562E7" w:rsidP="00B562E7">
      <w:pPr>
        <w:pStyle w:val="ARDotpoints"/>
        <w:numPr>
          <w:ilvl w:val="0"/>
          <w:numId w:val="0"/>
        </w:numPr>
        <w:ind w:left="786" w:hanging="360"/>
      </w:pPr>
    </w:p>
    <w:tbl>
      <w:tblPr>
        <w:tblStyle w:val="TableGrid"/>
        <w:tblW w:w="0" w:type="auto"/>
        <w:tblInd w:w="-5" w:type="dxa"/>
        <w:tblBorders>
          <w:top w:val="single" w:sz="8" w:space="0" w:color="E7E6E6"/>
          <w:left w:val="single" w:sz="8" w:space="0" w:color="E7E6E6"/>
          <w:bottom w:val="single" w:sz="8" w:space="0" w:color="E7E6E6"/>
          <w:right w:val="single" w:sz="8" w:space="0" w:color="E7E6E6"/>
          <w:insideH w:val="single" w:sz="8" w:space="0" w:color="E7E6E6"/>
          <w:insideV w:val="single" w:sz="8" w:space="0" w:color="E7E6E6"/>
        </w:tblBorders>
        <w:tblLook w:val="04A0" w:firstRow="1" w:lastRow="0" w:firstColumn="1" w:lastColumn="0" w:noHBand="0" w:noVBand="1"/>
      </w:tblPr>
      <w:tblGrid>
        <w:gridCol w:w="2268"/>
        <w:gridCol w:w="6753"/>
      </w:tblGrid>
      <w:tr w:rsidR="00685C28" w:rsidRPr="00DD1045" w14:paraId="1CAA26AE" w14:textId="77777777" w:rsidTr="008D7EDE">
        <w:tc>
          <w:tcPr>
            <w:tcW w:w="2268" w:type="dxa"/>
            <w:tcBorders>
              <w:left w:val="nil"/>
            </w:tcBorders>
            <w:shd w:val="clear" w:color="auto" w:fill="7F7F7F" w:themeFill="text1" w:themeFillTint="80"/>
            <w:vAlign w:val="center"/>
          </w:tcPr>
          <w:p w14:paraId="3E0F27D4" w14:textId="6C4B6C3C" w:rsidR="00B72F3E" w:rsidRPr="00DD1045" w:rsidRDefault="00562072" w:rsidP="00B72F3E">
            <w:pPr>
              <w:pStyle w:val="ARDotpoints"/>
              <w:numPr>
                <w:ilvl w:val="0"/>
                <w:numId w:val="0"/>
              </w:numPr>
              <w:rPr>
                <w:color w:val="FFFFFF" w:themeColor="background1"/>
              </w:rPr>
            </w:pPr>
            <w:r w:rsidRPr="00DD1045">
              <w:rPr>
                <w:color w:val="FFFFFF" w:themeColor="background1"/>
              </w:rPr>
              <w:lastRenderedPageBreak/>
              <w:t>Goal</w:t>
            </w:r>
          </w:p>
        </w:tc>
        <w:tc>
          <w:tcPr>
            <w:tcW w:w="6753" w:type="dxa"/>
            <w:tcBorders>
              <w:right w:val="nil"/>
            </w:tcBorders>
            <w:shd w:val="clear" w:color="auto" w:fill="7F7F7F" w:themeFill="text1" w:themeFillTint="80"/>
            <w:vAlign w:val="center"/>
          </w:tcPr>
          <w:p w14:paraId="6677CAC0" w14:textId="003BDD8B" w:rsidR="00B72F3E" w:rsidRPr="00DD1045" w:rsidRDefault="00562072" w:rsidP="00B72F3E">
            <w:pPr>
              <w:pStyle w:val="ARDotpoints"/>
              <w:numPr>
                <w:ilvl w:val="0"/>
                <w:numId w:val="0"/>
              </w:numPr>
              <w:rPr>
                <w:color w:val="FFFFFF" w:themeColor="background1"/>
              </w:rPr>
            </w:pPr>
            <w:r w:rsidRPr="00DD1045">
              <w:rPr>
                <w:color w:val="FFFFFF" w:themeColor="background1"/>
              </w:rPr>
              <w:t>Strategies</w:t>
            </w:r>
          </w:p>
        </w:tc>
      </w:tr>
      <w:tr w:rsidR="00782170" w:rsidRPr="00DD1045" w14:paraId="7AC14FEA" w14:textId="77777777" w:rsidTr="008D7EDE">
        <w:tc>
          <w:tcPr>
            <w:tcW w:w="2268" w:type="dxa"/>
            <w:tcBorders>
              <w:left w:val="nil"/>
            </w:tcBorders>
          </w:tcPr>
          <w:p w14:paraId="469AAF83" w14:textId="75A81395" w:rsidR="00B72F3E" w:rsidRPr="00DD1045" w:rsidRDefault="00B72F3E" w:rsidP="00B72F3E">
            <w:pPr>
              <w:pStyle w:val="ARDotpoints"/>
              <w:numPr>
                <w:ilvl w:val="0"/>
                <w:numId w:val="0"/>
              </w:numPr>
              <w:rPr>
                <w:b/>
                <w:bCs/>
              </w:rPr>
            </w:pPr>
            <w:r w:rsidRPr="00DD1045">
              <w:rPr>
                <w:b/>
                <w:bCs/>
              </w:rPr>
              <w:t>Purpose-driven culture</w:t>
            </w:r>
          </w:p>
        </w:tc>
        <w:tc>
          <w:tcPr>
            <w:tcW w:w="6753" w:type="dxa"/>
            <w:tcBorders>
              <w:right w:val="nil"/>
            </w:tcBorders>
          </w:tcPr>
          <w:p w14:paraId="2F5CCA29" w14:textId="77777777" w:rsidR="00C50CE1" w:rsidRPr="00DD1045" w:rsidRDefault="00C50CE1" w:rsidP="008A4542">
            <w:pPr>
              <w:pStyle w:val="ARDotpoints"/>
              <w:ind w:left="584"/>
            </w:pPr>
            <w:r w:rsidRPr="00DD1045">
              <w:t xml:space="preserve">Nurture a culture of striving for excellence and mutual accountability </w:t>
            </w:r>
          </w:p>
          <w:p w14:paraId="2964274A" w14:textId="77777777" w:rsidR="00C50CE1" w:rsidRPr="00DD1045" w:rsidRDefault="00C50CE1" w:rsidP="008A4542">
            <w:pPr>
              <w:pStyle w:val="ARDotpoints"/>
              <w:ind w:left="584"/>
            </w:pPr>
            <w:r w:rsidRPr="00DD1045">
              <w:t xml:space="preserve">Support authentic leaders who inspire growth and performance </w:t>
            </w:r>
          </w:p>
          <w:p w14:paraId="12469F26" w14:textId="77777777" w:rsidR="00C50CE1" w:rsidRPr="00DD1045" w:rsidRDefault="00C50CE1" w:rsidP="008A4542">
            <w:pPr>
              <w:pStyle w:val="ARDotpoints"/>
              <w:ind w:left="584"/>
            </w:pPr>
            <w:r w:rsidRPr="00DD1045">
              <w:t xml:space="preserve">Grow talented employees who shape the future of workers’ compensation </w:t>
            </w:r>
          </w:p>
          <w:p w14:paraId="4EB93AF5" w14:textId="77777777" w:rsidR="00AB65FC" w:rsidRPr="00DD1045" w:rsidRDefault="00C50CE1" w:rsidP="008A4542">
            <w:pPr>
              <w:pStyle w:val="ARDotpoints"/>
              <w:ind w:left="584"/>
            </w:pPr>
            <w:r w:rsidRPr="00DD1045">
              <w:t xml:space="preserve">Champion inclusive practices and celebrate diversity </w:t>
            </w:r>
          </w:p>
          <w:p w14:paraId="374C0750" w14:textId="3317A158" w:rsidR="002A3E67" w:rsidRPr="00DD1045" w:rsidRDefault="00C50CE1" w:rsidP="008A4542">
            <w:pPr>
              <w:pStyle w:val="ARDotpoints"/>
              <w:ind w:left="584"/>
            </w:pPr>
            <w:r w:rsidRPr="00DD1045">
              <w:t>Act as a leader of talent acquisition and development strategies</w:t>
            </w:r>
            <w:r w:rsidR="00AB65FC" w:rsidRPr="00DD1045">
              <w:t>.</w:t>
            </w:r>
          </w:p>
        </w:tc>
      </w:tr>
      <w:tr w:rsidR="00782170" w:rsidRPr="00DD1045" w14:paraId="3E502C31" w14:textId="77777777" w:rsidTr="008D7EDE">
        <w:tc>
          <w:tcPr>
            <w:tcW w:w="2268" w:type="dxa"/>
            <w:tcBorders>
              <w:left w:val="nil"/>
            </w:tcBorders>
          </w:tcPr>
          <w:p w14:paraId="6523CBA0" w14:textId="368CEE26" w:rsidR="00B72F3E" w:rsidRPr="00DD1045" w:rsidRDefault="00B72F3E" w:rsidP="00B72F3E">
            <w:pPr>
              <w:pStyle w:val="ARDotpoints"/>
              <w:numPr>
                <w:ilvl w:val="0"/>
                <w:numId w:val="0"/>
              </w:numPr>
              <w:rPr>
                <w:b/>
                <w:bCs/>
              </w:rPr>
            </w:pPr>
            <w:r w:rsidRPr="00DD1045">
              <w:rPr>
                <w:b/>
                <w:bCs/>
              </w:rPr>
              <w:t>Operational excellence</w:t>
            </w:r>
          </w:p>
        </w:tc>
        <w:tc>
          <w:tcPr>
            <w:tcW w:w="6753" w:type="dxa"/>
            <w:tcBorders>
              <w:right w:val="nil"/>
            </w:tcBorders>
          </w:tcPr>
          <w:p w14:paraId="74578011" w14:textId="77777777" w:rsidR="00AB65FC" w:rsidRPr="00DD1045" w:rsidRDefault="00AB65FC" w:rsidP="008A4542">
            <w:pPr>
              <w:pStyle w:val="ARDotpoints"/>
              <w:ind w:left="584"/>
            </w:pPr>
            <w:r w:rsidRPr="00DD1045">
              <w:t xml:space="preserve">Transform statutory and common law claims management to improve claim outcomes </w:t>
            </w:r>
          </w:p>
          <w:p w14:paraId="223F9374" w14:textId="77777777" w:rsidR="00AB65FC" w:rsidRPr="00DD1045" w:rsidRDefault="00AB65FC" w:rsidP="008A4542">
            <w:pPr>
              <w:pStyle w:val="ARDotpoints"/>
              <w:ind w:left="584"/>
            </w:pPr>
            <w:r w:rsidRPr="00DD1045">
              <w:t xml:space="preserve">Strengthen relationships with stakeholders and partners to influence positive outcomes with a focus on mutually beneficial digital efficiencies </w:t>
            </w:r>
          </w:p>
          <w:p w14:paraId="64272DBA" w14:textId="77777777" w:rsidR="00AB65FC" w:rsidRPr="00DD1045" w:rsidRDefault="00AB65FC" w:rsidP="008A4542">
            <w:pPr>
              <w:pStyle w:val="ARDotpoints"/>
              <w:ind w:left="584"/>
            </w:pPr>
            <w:r w:rsidRPr="00DD1045">
              <w:t xml:space="preserve">Enhance return to work outcomes for primary mental injuries and implement claims management strategies to reduce secondary mental health injuries </w:t>
            </w:r>
          </w:p>
          <w:p w14:paraId="2947B0A3" w14:textId="4E121601" w:rsidR="002A3E67" w:rsidRPr="00DD1045" w:rsidRDefault="00AB65FC" w:rsidP="008A4542">
            <w:pPr>
              <w:pStyle w:val="ARDotpoints"/>
              <w:ind w:left="584"/>
            </w:pPr>
            <w:r w:rsidRPr="00DD1045">
              <w:t>Ensure financial sustainability through appropriate claims management, premium and investment strategies.</w:t>
            </w:r>
          </w:p>
        </w:tc>
      </w:tr>
      <w:tr w:rsidR="004459F7" w:rsidRPr="00DD1045" w14:paraId="6311D178" w14:textId="77777777" w:rsidTr="008D7EDE">
        <w:tc>
          <w:tcPr>
            <w:tcW w:w="2268" w:type="dxa"/>
            <w:tcBorders>
              <w:left w:val="nil"/>
              <w:bottom w:val="single" w:sz="8" w:space="0" w:color="E7E6E6"/>
            </w:tcBorders>
          </w:tcPr>
          <w:p w14:paraId="24BC1883" w14:textId="76C67683" w:rsidR="00B72F3E" w:rsidRPr="00DD1045" w:rsidRDefault="00B72F3E" w:rsidP="00B72F3E">
            <w:pPr>
              <w:pStyle w:val="ARDotpoints"/>
              <w:numPr>
                <w:ilvl w:val="0"/>
                <w:numId w:val="0"/>
              </w:numPr>
              <w:rPr>
                <w:b/>
                <w:bCs/>
              </w:rPr>
            </w:pPr>
            <w:r w:rsidRPr="00DD1045">
              <w:rPr>
                <w:b/>
                <w:bCs/>
              </w:rPr>
              <w:t>Digitally innovative</w:t>
            </w:r>
          </w:p>
        </w:tc>
        <w:tc>
          <w:tcPr>
            <w:tcW w:w="6753" w:type="dxa"/>
            <w:tcBorders>
              <w:bottom w:val="single" w:sz="8" w:space="0" w:color="E7E6E6"/>
              <w:right w:val="nil"/>
            </w:tcBorders>
          </w:tcPr>
          <w:p w14:paraId="3E4C7E8E" w14:textId="77777777" w:rsidR="004568DD" w:rsidRPr="00DD1045" w:rsidRDefault="004568DD" w:rsidP="008A4542">
            <w:pPr>
              <w:pStyle w:val="ARDotpoints"/>
              <w:ind w:left="584"/>
            </w:pPr>
            <w:r w:rsidRPr="00DD1045">
              <w:t xml:space="preserve">Align our digital transformation with our strategic priorities and deliver value </w:t>
            </w:r>
          </w:p>
          <w:p w14:paraId="0E7AFCD0" w14:textId="77777777" w:rsidR="004568DD" w:rsidRPr="00DD1045" w:rsidRDefault="004568DD" w:rsidP="008A4542">
            <w:pPr>
              <w:pStyle w:val="ARDotpoints"/>
              <w:ind w:left="584"/>
            </w:pPr>
            <w:r w:rsidRPr="00DD1045">
              <w:t xml:space="preserve">Ensure our cyber posture protects our customers, people and information assets </w:t>
            </w:r>
          </w:p>
          <w:p w14:paraId="5F0522B8" w14:textId="1F4181D2" w:rsidR="00B8072C" w:rsidRPr="00DD1045" w:rsidRDefault="004568DD" w:rsidP="008A4542">
            <w:pPr>
              <w:pStyle w:val="ARDotpoints"/>
              <w:ind w:left="584"/>
            </w:pPr>
            <w:r w:rsidRPr="00DD1045">
              <w:t>Rationalise and innovate our existing digital, data and supporting system capabilities.</w:t>
            </w:r>
          </w:p>
        </w:tc>
      </w:tr>
      <w:tr w:rsidR="004459F7" w:rsidRPr="00DD1045" w14:paraId="79E8F237" w14:textId="77777777" w:rsidTr="008D7EDE">
        <w:tc>
          <w:tcPr>
            <w:tcW w:w="2268" w:type="dxa"/>
            <w:tcBorders>
              <w:left w:val="nil"/>
              <w:bottom w:val="single" w:sz="18" w:space="0" w:color="E7E6E6"/>
            </w:tcBorders>
          </w:tcPr>
          <w:p w14:paraId="3D9DE6A0" w14:textId="4E5039CE" w:rsidR="00B72F3E" w:rsidRPr="00DD1045" w:rsidRDefault="00B72F3E" w:rsidP="00B72F3E">
            <w:pPr>
              <w:pStyle w:val="ARDotpoints"/>
              <w:numPr>
                <w:ilvl w:val="0"/>
                <w:numId w:val="0"/>
              </w:numPr>
              <w:rPr>
                <w:b/>
                <w:bCs/>
              </w:rPr>
            </w:pPr>
            <w:r w:rsidRPr="00DD1045">
              <w:rPr>
                <w:b/>
                <w:bCs/>
              </w:rPr>
              <w:t xml:space="preserve">Valued experience </w:t>
            </w:r>
          </w:p>
        </w:tc>
        <w:tc>
          <w:tcPr>
            <w:tcW w:w="6753" w:type="dxa"/>
            <w:tcBorders>
              <w:bottom w:val="single" w:sz="18" w:space="0" w:color="E7E6E6"/>
              <w:right w:val="nil"/>
            </w:tcBorders>
          </w:tcPr>
          <w:p w14:paraId="58EB90EF" w14:textId="77777777" w:rsidR="004568DD" w:rsidRPr="00DD1045" w:rsidRDefault="004568DD" w:rsidP="008A4542">
            <w:pPr>
              <w:pStyle w:val="ARDotpoints"/>
              <w:ind w:left="584"/>
            </w:pPr>
            <w:r w:rsidRPr="00DD1045">
              <w:t xml:space="preserve">Collaborate and partner across the Queensland community to deliver safe return to work outcomes </w:t>
            </w:r>
          </w:p>
          <w:p w14:paraId="4AD29191" w14:textId="77777777" w:rsidR="004568DD" w:rsidRPr="00DD1045" w:rsidRDefault="004568DD" w:rsidP="008A4542">
            <w:pPr>
              <w:pStyle w:val="ARDotpoints"/>
              <w:ind w:left="584"/>
            </w:pPr>
            <w:r w:rsidRPr="00DD1045">
              <w:t xml:space="preserve">Build and sustain experiences and a culture that puts our customers at the centre </w:t>
            </w:r>
          </w:p>
          <w:p w14:paraId="6DA54F87" w14:textId="5A3FA1C8" w:rsidR="00B72F3E" w:rsidRPr="00DD1045" w:rsidRDefault="004568DD" w:rsidP="008A4542">
            <w:pPr>
              <w:pStyle w:val="ARDotpoints"/>
              <w:ind w:left="584"/>
            </w:pPr>
            <w:r w:rsidRPr="00DD1045">
              <w:t xml:space="preserve">Partner with Office of Industrial Relations, Workplace Health and Safety </w:t>
            </w:r>
            <w:r w:rsidR="47B17559">
              <w:t xml:space="preserve">Queensland </w:t>
            </w:r>
            <w:r w:rsidRPr="00DD1045">
              <w:t>and other stakeholders to help customers improve safety and return to work, focusing on our Injury Risk Reduction Initiatives (</w:t>
            </w:r>
            <w:r w:rsidRPr="00BC7767">
              <w:t>IRRI</w:t>
            </w:r>
            <w:r w:rsidRPr="00DD1045">
              <w:t>) and the Injury Prevention and Management Program (</w:t>
            </w:r>
            <w:r w:rsidRPr="00BC7767">
              <w:t>IPaM</w:t>
            </w:r>
            <w:r w:rsidRPr="00DD1045">
              <w:t>)</w:t>
            </w:r>
            <w:r w:rsidR="00AD6923" w:rsidRPr="00DD1045">
              <w:t>.</w:t>
            </w:r>
          </w:p>
        </w:tc>
      </w:tr>
    </w:tbl>
    <w:p w14:paraId="7D248B93" w14:textId="77777777" w:rsidR="005B6524" w:rsidRPr="00DD1045" w:rsidRDefault="005B6524" w:rsidP="007534C9"/>
    <w:p w14:paraId="4CE0F805" w14:textId="391EB0BA" w:rsidR="00256E3B" w:rsidRPr="00664BC6" w:rsidRDefault="005656AC" w:rsidP="007534C9">
      <w:r>
        <w:t>More information</w:t>
      </w:r>
      <w:r w:rsidR="00C7440C">
        <w:t xml:space="preserve"> is available </w:t>
      </w:r>
      <w:r w:rsidR="00C7440C" w:rsidRPr="00CF2C7F">
        <w:t xml:space="preserve">in our </w:t>
      </w:r>
      <w:hyperlink r:id="rId27" w:history="1">
        <w:r w:rsidR="00C7440C" w:rsidRPr="00CF2C7F">
          <w:rPr>
            <w:rStyle w:val="Hyperlink"/>
            <w:i/>
            <w:iCs/>
            <w:color w:val="auto"/>
          </w:rPr>
          <w:t>Statement of Corporate Intent 2023</w:t>
        </w:r>
        <w:r w:rsidR="00C416C6">
          <w:t>–</w:t>
        </w:r>
        <w:r w:rsidR="00C7440C" w:rsidRPr="00CF2C7F">
          <w:rPr>
            <w:rStyle w:val="Hyperlink"/>
            <w:i/>
            <w:iCs/>
            <w:color w:val="auto"/>
          </w:rPr>
          <w:t>202</w:t>
        </w:r>
        <w:r w:rsidR="003915E1" w:rsidRPr="00CF2C7F">
          <w:rPr>
            <w:rStyle w:val="Hyperlink"/>
            <w:i/>
            <w:iCs/>
            <w:color w:val="auto"/>
          </w:rPr>
          <w:t>4</w:t>
        </w:r>
      </w:hyperlink>
      <w:r w:rsidR="000C7F88" w:rsidRPr="00664BC6">
        <w:rPr>
          <w:rStyle w:val="Hyperlink"/>
          <w:i/>
          <w:iCs/>
          <w:color w:val="auto"/>
          <w:u w:val="none"/>
        </w:rPr>
        <w:t xml:space="preserve"> </w:t>
      </w:r>
      <w:r w:rsidR="000C7F88" w:rsidRPr="00664BC6">
        <w:rPr>
          <w:rStyle w:val="Hyperlink"/>
          <w:color w:val="auto"/>
          <w:u w:val="none"/>
        </w:rPr>
        <w:t>(</w:t>
      </w:r>
      <w:r w:rsidR="000C7F88" w:rsidRPr="00664BC6">
        <w:rPr>
          <w:rStyle w:val="Hyperlink"/>
          <w:color w:val="auto"/>
        </w:rPr>
        <w:t>https://www.worksafe.qld.</w:t>
      </w:r>
      <w:r w:rsidR="00D9250B" w:rsidRPr="00664BC6">
        <w:rPr>
          <w:rStyle w:val="Hyperlink"/>
          <w:color w:val="auto"/>
        </w:rPr>
        <w:br/>
      </w:r>
      <w:r w:rsidR="000C7F88" w:rsidRPr="00664BC6">
        <w:rPr>
          <w:rStyle w:val="Hyperlink"/>
          <w:color w:val="auto"/>
        </w:rPr>
        <w:t>gov.au/__data/assets/pdf_file/0009/116100/Statement-of-Corporate-Intent-2023-2024.pdf</w:t>
      </w:r>
      <w:r w:rsidR="000C7F88" w:rsidRPr="00664BC6">
        <w:rPr>
          <w:rStyle w:val="Hyperlink"/>
          <w:color w:val="auto"/>
          <w:u w:val="none"/>
        </w:rPr>
        <w:t>)</w:t>
      </w:r>
      <w:r w:rsidR="003915E1" w:rsidRPr="00664BC6">
        <w:t>,</w:t>
      </w:r>
      <w:r w:rsidR="003915E1" w:rsidRPr="00CF2C7F">
        <w:rPr>
          <w:i/>
          <w:iCs/>
        </w:rPr>
        <w:t xml:space="preserve"> </w:t>
      </w:r>
      <w:r w:rsidR="003915E1" w:rsidRPr="00CF2C7F">
        <w:t xml:space="preserve">and </w:t>
      </w:r>
      <w:hyperlink r:id="rId28" w:history="1">
        <w:r w:rsidR="003915E1" w:rsidRPr="00CF2C7F">
          <w:rPr>
            <w:rStyle w:val="Hyperlink"/>
            <w:i/>
            <w:iCs/>
            <w:color w:val="auto"/>
          </w:rPr>
          <w:t>Corporate Plan 2023</w:t>
        </w:r>
        <w:r w:rsidR="00C416C6">
          <w:t>–</w:t>
        </w:r>
        <w:r w:rsidR="003915E1" w:rsidRPr="00CF2C7F">
          <w:rPr>
            <w:rStyle w:val="Hyperlink"/>
            <w:i/>
            <w:iCs/>
            <w:color w:val="auto"/>
          </w:rPr>
          <w:t>2027</w:t>
        </w:r>
      </w:hyperlink>
      <w:r w:rsidR="00C8704B" w:rsidRPr="002C4902">
        <w:rPr>
          <w:rStyle w:val="Hyperlink"/>
          <w:color w:val="auto"/>
          <w:u w:val="none"/>
        </w:rPr>
        <w:t xml:space="preserve"> (</w:t>
      </w:r>
      <w:r w:rsidR="00C8704B" w:rsidRPr="00664BC6">
        <w:rPr>
          <w:rStyle w:val="Hyperlink"/>
          <w:color w:val="auto"/>
        </w:rPr>
        <w:t>https://www.worksafe.qld.gov.au/__data/assets/pdf_file/0025/116098/WorkCover-Queensland-Corporate-Plan-2023-2027.pdf</w:t>
      </w:r>
      <w:r w:rsidR="00C8704B" w:rsidRPr="00664BC6">
        <w:rPr>
          <w:rStyle w:val="Hyperlink"/>
          <w:color w:val="auto"/>
          <w:u w:val="none"/>
        </w:rPr>
        <w:t>)</w:t>
      </w:r>
      <w:r w:rsidR="003915E1" w:rsidRPr="00664BC6">
        <w:t>.</w:t>
      </w:r>
    </w:p>
    <w:p w14:paraId="6FC688DB" w14:textId="77777777" w:rsidR="00256E3B" w:rsidRPr="00DD1045" w:rsidRDefault="00256E3B" w:rsidP="007534C9"/>
    <w:p w14:paraId="12F5D86C" w14:textId="77777777" w:rsidR="00256E3B" w:rsidRPr="00DD1045" w:rsidRDefault="00256E3B" w:rsidP="007534C9"/>
    <w:p w14:paraId="4882F75E" w14:textId="77777777" w:rsidR="00256E3B" w:rsidRPr="00DD1045" w:rsidRDefault="00256E3B" w:rsidP="007534C9"/>
    <w:p w14:paraId="5D312BBC" w14:textId="77777777" w:rsidR="00256E3B" w:rsidRPr="00DD1045" w:rsidRDefault="00256E3B" w:rsidP="007534C9"/>
    <w:p w14:paraId="2C274F11" w14:textId="71366A76" w:rsidR="00C02E59" w:rsidRPr="00DD1045" w:rsidRDefault="00C02E59" w:rsidP="00C02E59">
      <w:pPr>
        <w:pStyle w:val="ARHeading1"/>
      </w:pPr>
      <w:bookmarkStart w:id="18" w:name="_Toc172009629"/>
      <w:r w:rsidRPr="00DD1045">
        <w:lastRenderedPageBreak/>
        <w:t xml:space="preserve">Our </w:t>
      </w:r>
      <w:r w:rsidR="0006317D">
        <w:t xml:space="preserve">commitment to </w:t>
      </w:r>
      <w:r w:rsidR="00256E3B" w:rsidRPr="00DD1045">
        <w:t>c</w:t>
      </w:r>
      <w:r w:rsidR="00211909" w:rsidRPr="00DD1045">
        <w:t>ustomer</w:t>
      </w:r>
      <w:r w:rsidR="00CA738B">
        <w:t>s</w:t>
      </w:r>
      <w:r w:rsidR="00256E3B" w:rsidRPr="00DD1045">
        <w:t xml:space="preserve"> </w:t>
      </w:r>
      <w:bookmarkEnd w:id="18"/>
    </w:p>
    <w:p w14:paraId="7220BE26" w14:textId="77777777" w:rsidR="0006317D" w:rsidRPr="00DD1045" w:rsidRDefault="0006317D">
      <w:pPr>
        <w:spacing w:after="0" w:line="240" w:lineRule="auto"/>
      </w:pPr>
      <w:r>
        <w:t>Our Customer Principles are the foundation of how we engage with employers and workers. Research shows that when we apply these principles and deliver an overall positive customer experience, workers are three times more likely to achieve positive return to work outcomes. </w:t>
      </w:r>
    </w:p>
    <w:p w14:paraId="6D2BB861" w14:textId="77777777" w:rsidR="0006317D" w:rsidRDefault="0006317D" w:rsidP="0006317D">
      <w:r>
        <w:t>We are committed to providing an experience aligned to these principles, as defined below.</w:t>
      </w:r>
    </w:p>
    <w:tbl>
      <w:tblPr>
        <w:tblStyle w:val="TableGrid"/>
        <w:tblW w:w="9071" w:type="dxa"/>
        <w:tblInd w:w="-5" w:type="dxa"/>
        <w:tblBorders>
          <w:top w:val="single" w:sz="8" w:space="0" w:color="E7E6E6"/>
          <w:left w:val="single" w:sz="8" w:space="0" w:color="E7E6E6"/>
          <w:bottom w:val="single" w:sz="8" w:space="0" w:color="E7E6E6"/>
          <w:right w:val="single" w:sz="8" w:space="0" w:color="E7E6E6"/>
          <w:insideH w:val="single" w:sz="8" w:space="0" w:color="E7E6E6"/>
          <w:insideV w:val="single" w:sz="8" w:space="0" w:color="E7E6E6"/>
        </w:tblBorders>
        <w:tblLook w:val="04A0" w:firstRow="1" w:lastRow="0" w:firstColumn="1" w:lastColumn="0" w:noHBand="0" w:noVBand="1"/>
      </w:tblPr>
      <w:tblGrid>
        <w:gridCol w:w="1857"/>
        <w:gridCol w:w="3670"/>
        <w:gridCol w:w="3544"/>
      </w:tblGrid>
      <w:tr w:rsidR="004F1882" w:rsidRPr="00DD1045" w14:paraId="5E2862E2" w14:textId="77777777" w:rsidTr="008D7EDE">
        <w:trPr>
          <w:trHeight w:val="149"/>
        </w:trPr>
        <w:tc>
          <w:tcPr>
            <w:tcW w:w="1857" w:type="dxa"/>
            <w:tcBorders>
              <w:left w:val="nil"/>
            </w:tcBorders>
            <w:shd w:val="clear" w:color="auto" w:fill="7F7F7F" w:themeFill="text1" w:themeFillTint="80"/>
            <w:vAlign w:val="center"/>
          </w:tcPr>
          <w:p w14:paraId="5F29E9F3" w14:textId="77777777" w:rsidR="0039689C" w:rsidRPr="00DD1045" w:rsidRDefault="0039689C">
            <w:pPr>
              <w:pStyle w:val="ARDotpoints"/>
              <w:numPr>
                <w:ilvl w:val="0"/>
                <w:numId w:val="0"/>
              </w:numPr>
              <w:rPr>
                <w:color w:val="FFFFFF" w:themeColor="background1"/>
              </w:rPr>
            </w:pPr>
            <w:r w:rsidRPr="0CD2C984">
              <w:rPr>
                <w:color w:val="FFFFFF" w:themeColor="background1"/>
              </w:rPr>
              <w:t>Customer Principle</w:t>
            </w:r>
          </w:p>
        </w:tc>
        <w:tc>
          <w:tcPr>
            <w:tcW w:w="3670" w:type="dxa"/>
            <w:shd w:val="clear" w:color="auto" w:fill="7F7F7F" w:themeFill="text1" w:themeFillTint="80"/>
            <w:vAlign w:val="center"/>
          </w:tcPr>
          <w:p w14:paraId="66010A62" w14:textId="77777777" w:rsidR="0039689C" w:rsidRPr="00DD1045" w:rsidRDefault="0039689C">
            <w:pPr>
              <w:pStyle w:val="ARDotpoints"/>
              <w:numPr>
                <w:ilvl w:val="0"/>
                <w:numId w:val="0"/>
              </w:numPr>
              <w:rPr>
                <w:color w:val="FFFFFF" w:themeColor="background1"/>
              </w:rPr>
            </w:pPr>
            <w:r w:rsidRPr="00DD1045">
              <w:rPr>
                <w:color w:val="FFFFFF" w:themeColor="background1"/>
              </w:rPr>
              <w:t>Employers</w:t>
            </w:r>
          </w:p>
        </w:tc>
        <w:tc>
          <w:tcPr>
            <w:tcW w:w="3544" w:type="dxa"/>
            <w:tcBorders>
              <w:right w:val="nil"/>
            </w:tcBorders>
            <w:shd w:val="clear" w:color="auto" w:fill="7F7F7F" w:themeFill="text1" w:themeFillTint="80"/>
            <w:vAlign w:val="center"/>
          </w:tcPr>
          <w:p w14:paraId="50F83C26" w14:textId="77777777" w:rsidR="0039689C" w:rsidRPr="00DD1045" w:rsidRDefault="0039689C">
            <w:pPr>
              <w:pStyle w:val="ARDotpoints"/>
              <w:numPr>
                <w:ilvl w:val="0"/>
                <w:numId w:val="0"/>
              </w:numPr>
              <w:rPr>
                <w:color w:val="FFFFFF" w:themeColor="background1"/>
              </w:rPr>
            </w:pPr>
            <w:r w:rsidRPr="00DD1045">
              <w:rPr>
                <w:color w:val="FFFFFF" w:themeColor="background1"/>
              </w:rPr>
              <w:t>Workers</w:t>
            </w:r>
          </w:p>
        </w:tc>
      </w:tr>
      <w:tr w:rsidR="00782170" w:rsidRPr="00DD1045" w14:paraId="5BE570C1" w14:textId="77777777" w:rsidTr="008D7EDE">
        <w:trPr>
          <w:trHeight w:hRule="exact" w:val="1701"/>
        </w:trPr>
        <w:tc>
          <w:tcPr>
            <w:tcW w:w="1857" w:type="dxa"/>
            <w:tcBorders>
              <w:left w:val="nil"/>
            </w:tcBorders>
          </w:tcPr>
          <w:p w14:paraId="4E665337" w14:textId="77777777" w:rsidR="0039689C" w:rsidRPr="00DD1045" w:rsidRDefault="0039689C">
            <w:pPr>
              <w:pStyle w:val="ARDotpoints"/>
              <w:numPr>
                <w:ilvl w:val="0"/>
                <w:numId w:val="0"/>
              </w:numPr>
              <w:rPr>
                <w:b/>
                <w:bCs/>
              </w:rPr>
            </w:pPr>
            <w:r w:rsidRPr="00DD1045">
              <w:rPr>
                <w:b/>
                <w:bCs/>
              </w:rPr>
              <w:t>Empowered</w:t>
            </w:r>
          </w:p>
        </w:tc>
        <w:tc>
          <w:tcPr>
            <w:tcW w:w="3670" w:type="dxa"/>
          </w:tcPr>
          <w:p w14:paraId="46933A06" w14:textId="11FB3112" w:rsidR="0039689C" w:rsidRPr="00DD1045" w:rsidRDefault="0039689C">
            <w:pPr>
              <w:pStyle w:val="ARDotpoints"/>
              <w:numPr>
                <w:ilvl w:val="0"/>
                <w:numId w:val="0"/>
              </w:numPr>
            </w:pPr>
            <w:r w:rsidRPr="00DD1045">
              <w:t>After every interaction with us, employers are clear about what positive actions they can take, and they feel confident to do so.</w:t>
            </w:r>
          </w:p>
        </w:tc>
        <w:tc>
          <w:tcPr>
            <w:tcW w:w="3544" w:type="dxa"/>
            <w:tcBorders>
              <w:right w:val="nil"/>
            </w:tcBorders>
          </w:tcPr>
          <w:p w14:paraId="1925D83E" w14:textId="34CD6970" w:rsidR="0039689C" w:rsidRPr="00DD1045" w:rsidRDefault="0039689C">
            <w:pPr>
              <w:pStyle w:val="ARDotpoints"/>
              <w:numPr>
                <w:ilvl w:val="0"/>
                <w:numId w:val="0"/>
              </w:numPr>
            </w:pPr>
            <w:r>
              <w:t xml:space="preserve">Workers are engaged and enabled to achieve the right outcome. They know what they need to do, and they know we’ll support them </w:t>
            </w:r>
            <w:r w:rsidR="006C7609">
              <w:t xml:space="preserve">where </w:t>
            </w:r>
            <w:r>
              <w:t>we can.</w:t>
            </w:r>
            <w:r w:rsidR="00845A96">
              <w:t xml:space="preserve"> </w:t>
            </w:r>
          </w:p>
        </w:tc>
      </w:tr>
      <w:tr w:rsidR="00782170" w:rsidRPr="00DD1045" w14:paraId="6928C0DE" w14:textId="77777777" w:rsidTr="008D7EDE">
        <w:trPr>
          <w:trHeight w:hRule="exact" w:val="1701"/>
        </w:trPr>
        <w:tc>
          <w:tcPr>
            <w:tcW w:w="1857" w:type="dxa"/>
            <w:tcBorders>
              <w:left w:val="nil"/>
            </w:tcBorders>
          </w:tcPr>
          <w:p w14:paraId="0C2378BA" w14:textId="77777777" w:rsidR="0039689C" w:rsidRPr="00DD1045" w:rsidRDefault="0039689C">
            <w:pPr>
              <w:pStyle w:val="ARDotpoints"/>
              <w:numPr>
                <w:ilvl w:val="0"/>
                <w:numId w:val="0"/>
              </w:numPr>
              <w:rPr>
                <w:b/>
                <w:bCs/>
              </w:rPr>
            </w:pPr>
            <w:r w:rsidRPr="00DD1045">
              <w:rPr>
                <w:b/>
                <w:bCs/>
              </w:rPr>
              <w:t>Valued</w:t>
            </w:r>
          </w:p>
        </w:tc>
        <w:tc>
          <w:tcPr>
            <w:tcW w:w="3670" w:type="dxa"/>
          </w:tcPr>
          <w:p w14:paraId="47DB3E87" w14:textId="6C9CA7EF" w:rsidR="0039689C" w:rsidRPr="00DD1045" w:rsidRDefault="0039689C">
            <w:pPr>
              <w:spacing w:line="259" w:lineRule="auto"/>
              <w:rPr>
                <w:rFonts w:ascii="Times New Roman" w:eastAsia="Times New Roman" w:hAnsi="Times New Roman" w:cs="Times New Roman"/>
                <w:color w:val="202020"/>
                <w:sz w:val="24"/>
                <w:szCs w:val="24"/>
                <w:lang w:eastAsia="en-AU"/>
              </w:rPr>
            </w:pPr>
            <w:r w:rsidRPr="00DD1045">
              <w:rPr>
                <w:rFonts w:eastAsia="Times New Roman" w:cs="Times New Roman"/>
                <w:color w:val="202020"/>
                <w:kern w:val="0"/>
                <w:lang w:eastAsia="en-AU"/>
                <w14:ligatures w14:val="none"/>
              </w:rPr>
              <w:t xml:space="preserve">Employers </w:t>
            </w:r>
            <w:r w:rsidR="006C7609">
              <w:rPr>
                <w:rFonts w:eastAsia="Times New Roman" w:cs="Times New Roman"/>
                <w:color w:val="202020"/>
                <w:lang w:eastAsia="en-AU"/>
              </w:rPr>
              <w:t>are</w:t>
            </w:r>
            <w:r w:rsidR="006C7609" w:rsidRPr="60DBDCC1">
              <w:rPr>
                <w:rFonts w:eastAsia="Times New Roman" w:cs="Times New Roman"/>
                <w:color w:val="202020"/>
                <w:lang w:eastAsia="en-AU"/>
              </w:rPr>
              <w:t xml:space="preserve"> </w:t>
            </w:r>
            <w:r w:rsidRPr="60DBDCC1">
              <w:rPr>
                <w:rFonts w:eastAsia="Times New Roman" w:cs="Times New Roman"/>
                <w:color w:val="202020"/>
                <w:lang w:eastAsia="en-AU"/>
              </w:rPr>
              <w:t>supported, informed and connected. They</w:t>
            </w:r>
            <w:r w:rsidRPr="00DD1045">
              <w:rPr>
                <w:rFonts w:eastAsia="Times New Roman" w:cs="Times New Roman"/>
                <w:color w:val="202020"/>
                <w:kern w:val="0"/>
                <w:lang w:eastAsia="en-AU"/>
                <w14:ligatures w14:val="none"/>
              </w:rPr>
              <w:t xml:space="preserve"> feel we deliver a valuable service.</w:t>
            </w:r>
          </w:p>
        </w:tc>
        <w:tc>
          <w:tcPr>
            <w:tcW w:w="3544" w:type="dxa"/>
            <w:tcBorders>
              <w:right w:val="nil"/>
            </w:tcBorders>
          </w:tcPr>
          <w:p w14:paraId="40FA9B68" w14:textId="34E01793" w:rsidR="0039689C" w:rsidRPr="00DD1045" w:rsidRDefault="0039689C">
            <w:pPr>
              <w:textAlignment w:val="baseline"/>
              <w:rPr>
                <w:rFonts w:ascii="Times New Roman" w:eastAsia="Times New Roman" w:hAnsi="Times New Roman" w:cs="Times New Roman"/>
                <w:color w:val="202020"/>
                <w:kern w:val="0"/>
                <w:sz w:val="24"/>
                <w:szCs w:val="24"/>
                <w:lang w:eastAsia="en-AU"/>
                <w14:ligatures w14:val="none"/>
              </w:rPr>
            </w:pPr>
            <w:r w:rsidRPr="00DD1045">
              <w:rPr>
                <w:rFonts w:eastAsia="Times New Roman" w:cs="Times New Roman"/>
                <w:color w:val="202020"/>
                <w:kern w:val="0"/>
                <w:lang w:eastAsia="en-AU"/>
                <w14:ligatures w14:val="none"/>
              </w:rPr>
              <w:t xml:space="preserve">Workers </w:t>
            </w:r>
            <w:r w:rsidR="006C7609">
              <w:rPr>
                <w:rFonts w:eastAsia="Times New Roman" w:cs="Times New Roman"/>
                <w:color w:val="202020"/>
                <w:kern w:val="0"/>
                <w:lang w:eastAsia="en-AU"/>
                <w14:ligatures w14:val="none"/>
              </w:rPr>
              <w:t>are</w:t>
            </w:r>
            <w:r w:rsidR="006C7609" w:rsidRPr="00DD1045">
              <w:rPr>
                <w:rFonts w:eastAsia="Times New Roman" w:cs="Times New Roman"/>
                <w:color w:val="202020"/>
                <w:kern w:val="0"/>
                <w:lang w:eastAsia="en-AU"/>
                <w14:ligatures w14:val="none"/>
              </w:rPr>
              <w:t xml:space="preserve"> </w:t>
            </w:r>
            <w:r w:rsidRPr="00DD1045">
              <w:rPr>
                <w:rFonts w:eastAsia="Times New Roman" w:cs="Times New Roman"/>
                <w:color w:val="202020"/>
                <w:kern w:val="0"/>
                <w:lang w:eastAsia="en-AU"/>
                <w14:ligatures w14:val="none"/>
              </w:rPr>
              <w:t>supported. They know that they matter to us as a person and are more than just a claim.</w:t>
            </w:r>
          </w:p>
        </w:tc>
      </w:tr>
      <w:tr w:rsidR="00782170" w:rsidRPr="00DD1045" w14:paraId="31832494" w14:textId="77777777" w:rsidTr="008D7EDE">
        <w:trPr>
          <w:trHeight w:hRule="exact" w:val="1701"/>
        </w:trPr>
        <w:tc>
          <w:tcPr>
            <w:tcW w:w="1857" w:type="dxa"/>
            <w:tcBorders>
              <w:left w:val="nil"/>
            </w:tcBorders>
          </w:tcPr>
          <w:p w14:paraId="5B7BE78D" w14:textId="77777777" w:rsidR="0039689C" w:rsidRPr="00DD1045" w:rsidRDefault="0039689C">
            <w:pPr>
              <w:pStyle w:val="ARDotpoints"/>
              <w:numPr>
                <w:ilvl w:val="0"/>
                <w:numId w:val="0"/>
              </w:numPr>
              <w:rPr>
                <w:b/>
                <w:bCs/>
              </w:rPr>
            </w:pPr>
            <w:r w:rsidRPr="00DD1045">
              <w:rPr>
                <w:b/>
                <w:bCs/>
              </w:rPr>
              <w:t>Easy</w:t>
            </w:r>
          </w:p>
        </w:tc>
        <w:tc>
          <w:tcPr>
            <w:tcW w:w="3670" w:type="dxa"/>
          </w:tcPr>
          <w:p w14:paraId="3B6F036F" w14:textId="13F1ACD8" w:rsidR="0039689C" w:rsidRPr="00DD1045" w:rsidRDefault="0039689C">
            <w:pPr>
              <w:spacing w:line="259" w:lineRule="auto"/>
              <w:rPr>
                <w:rFonts w:ascii="Times New Roman" w:eastAsia="Times New Roman" w:hAnsi="Times New Roman" w:cs="Times New Roman"/>
                <w:color w:val="202020"/>
                <w:sz w:val="24"/>
                <w:szCs w:val="24"/>
                <w:lang w:eastAsia="en-AU"/>
              </w:rPr>
            </w:pPr>
            <w:r w:rsidRPr="6A9DB4E6">
              <w:rPr>
                <w:rFonts w:eastAsia="Times New Roman" w:cs="Times New Roman"/>
                <w:color w:val="202020"/>
                <w:lang w:eastAsia="en-AU"/>
              </w:rPr>
              <w:t xml:space="preserve">Employers </w:t>
            </w:r>
            <w:r w:rsidR="006C7609">
              <w:rPr>
                <w:rFonts w:eastAsia="Times New Roman" w:cs="Times New Roman"/>
                <w:color w:val="202020"/>
                <w:lang w:eastAsia="en-AU"/>
              </w:rPr>
              <w:t>find</w:t>
            </w:r>
            <w:r w:rsidR="006C7609" w:rsidRPr="6A9DB4E6">
              <w:rPr>
                <w:rFonts w:eastAsia="Times New Roman" w:cs="Times New Roman"/>
                <w:color w:val="202020"/>
                <w:lang w:eastAsia="en-AU"/>
              </w:rPr>
              <w:t xml:space="preserve"> </w:t>
            </w:r>
            <w:r w:rsidRPr="6A9DB4E6">
              <w:rPr>
                <w:rFonts w:eastAsia="Times New Roman" w:cs="Times New Roman"/>
                <w:color w:val="202020"/>
                <w:lang w:eastAsia="en-AU"/>
              </w:rPr>
              <w:t>it straightforward to manage their policy and support their employees.</w:t>
            </w:r>
          </w:p>
        </w:tc>
        <w:tc>
          <w:tcPr>
            <w:tcW w:w="3544" w:type="dxa"/>
            <w:tcBorders>
              <w:right w:val="nil"/>
            </w:tcBorders>
          </w:tcPr>
          <w:p w14:paraId="2CE392CA" w14:textId="1BFFB23C" w:rsidR="0039689C" w:rsidRPr="00DD1045" w:rsidRDefault="0039689C">
            <w:pPr>
              <w:textAlignment w:val="baseline"/>
              <w:rPr>
                <w:rFonts w:ascii="Times New Roman" w:eastAsia="Times New Roman" w:hAnsi="Times New Roman" w:cs="Times New Roman"/>
                <w:color w:val="202020"/>
                <w:kern w:val="0"/>
                <w:sz w:val="24"/>
                <w:szCs w:val="24"/>
                <w:lang w:eastAsia="en-AU"/>
                <w14:ligatures w14:val="none"/>
              </w:rPr>
            </w:pPr>
            <w:r w:rsidRPr="00DD1045">
              <w:rPr>
                <w:rFonts w:eastAsia="Times New Roman" w:cs="Times New Roman"/>
                <w:color w:val="202020"/>
                <w:kern w:val="0"/>
                <w:lang w:eastAsia="en-AU"/>
                <w14:ligatures w14:val="none"/>
              </w:rPr>
              <w:t>Workers can focus on their recovery rather than their claim, knowing that WorkCover will guide them.</w:t>
            </w:r>
          </w:p>
        </w:tc>
      </w:tr>
      <w:tr w:rsidR="004459F7" w:rsidRPr="00DD1045" w14:paraId="7B08C692" w14:textId="77777777" w:rsidTr="008D7EDE">
        <w:trPr>
          <w:trHeight w:hRule="exact" w:val="1701"/>
        </w:trPr>
        <w:tc>
          <w:tcPr>
            <w:tcW w:w="1857" w:type="dxa"/>
            <w:tcBorders>
              <w:left w:val="nil"/>
              <w:bottom w:val="single" w:sz="8" w:space="0" w:color="E7E6E6"/>
            </w:tcBorders>
          </w:tcPr>
          <w:p w14:paraId="0F1F0966" w14:textId="77777777" w:rsidR="0039689C" w:rsidRPr="00DD1045" w:rsidRDefault="0039689C">
            <w:pPr>
              <w:pStyle w:val="ARDotpoints"/>
              <w:numPr>
                <w:ilvl w:val="0"/>
                <w:numId w:val="0"/>
              </w:numPr>
              <w:rPr>
                <w:b/>
                <w:bCs/>
              </w:rPr>
            </w:pPr>
            <w:r w:rsidRPr="00DD1045">
              <w:rPr>
                <w:b/>
                <w:bCs/>
              </w:rPr>
              <w:t xml:space="preserve">Fair and </w:t>
            </w:r>
            <w:r>
              <w:rPr>
                <w:b/>
                <w:bCs/>
              </w:rPr>
              <w:t>T</w:t>
            </w:r>
            <w:r w:rsidRPr="00DD1045">
              <w:rPr>
                <w:b/>
                <w:bCs/>
              </w:rPr>
              <w:t>ransparent</w:t>
            </w:r>
          </w:p>
        </w:tc>
        <w:tc>
          <w:tcPr>
            <w:tcW w:w="3670" w:type="dxa"/>
            <w:tcBorders>
              <w:bottom w:val="single" w:sz="8" w:space="0" w:color="E7E6E6"/>
            </w:tcBorders>
          </w:tcPr>
          <w:p w14:paraId="1F712525" w14:textId="1E4E7D3C" w:rsidR="0039689C" w:rsidRPr="00DD1045" w:rsidRDefault="0039689C" w:rsidP="0039689C">
            <w:pPr>
              <w:pStyle w:val="ARDotpoints"/>
              <w:spacing w:line="259" w:lineRule="auto"/>
              <w:ind w:left="66"/>
            </w:pPr>
            <w:r w:rsidRPr="13967118">
              <w:rPr>
                <w:rFonts w:eastAsia="Times New Roman" w:cs="Times New Roman"/>
                <w:color w:val="202020"/>
                <w:lang w:eastAsia="en-AU"/>
              </w:rPr>
              <w:t>Employers understand their premium and policy. They know that their interests are balanced with those of the worker, and decisions made are unbiased.</w:t>
            </w:r>
          </w:p>
        </w:tc>
        <w:tc>
          <w:tcPr>
            <w:tcW w:w="3544" w:type="dxa"/>
            <w:tcBorders>
              <w:bottom w:val="single" w:sz="8" w:space="0" w:color="E7E6E6"/>
              <w:right w:val="nil"/>
            </w:tcBorders>
          </w:tcPr>
          <w:p w14:paraId="52AABC5B" w14:textId="211CF0C0" w:rsidR="0039689C" w:rsidRPr="00DD1045" w:rsidRDefault="0039689C">
            <w:pPr>
              <w:textAlignment w:val="baseline"/>
              <w:rPr>
                <w:rFonts w:ascii="Times New Roman" w:eastAsia="Times New Roman" w:hAnsi="Times New Roman" w:cs="Times New Roman"/>
                <w:color w:val="202020"/>
                <w:kern w:val="0"/>
                <w:sz w:val="24"/>
                <w:szCs w:val="24"/>
                <w:lang w:eastAsia="en-AU"/>
                <w14:ligatures w14:val="none"/>
              </w:rPr>
            </w:pPr>
            <w:r w:rsidRPr="00DD1045">
              <w:rPr>
                <w:rFonts w:eastAsia="Times New Roman" w:cs="Times New Roman"/>
                <w:color w:val="202020"/>
                <w:kern w:val="0"/>
                <w:lang w:eastAsia="en-AU"/>
                <w14:ligatures w14:val="none"/>
              </w:rPr>
              <w:t xml:space="preserve">Workers </w:t>
            </w:r>
            <w:r w:rsidR="006C7609">
              <w:rPr>
                <w:rFonts w:eastAsia="Times New Roman" w:cs="Times New Roman"/>
                <w:color w:val="202020"/>
                <w:kern w:val="0"/>
                <w:lang w:eastAsia="en-AU"/>
                <w14:ligatures w14:val="none"/>
              </w:rPr>
              <w:t>agree</w:t>
            </w:r>
            <w:r w:rsidR="006C7609" w:rsidRPr="00DD1045">
              <w:rPr>
                <w:rFonts w:eastAsia="Times New Roman" w:cs="Times New Roman"/>
                <w:color w:val="202020"/>
                <w:kern w:val="0"/>
                <w:lang w:eastAsia="en-AU"/>
                <w14:ligatures w14:val="none"/>
              </w:rPr>
              <w:t xml:space="preserve"> </w:t>
            </w:r>
            <w:r w:rsidRPr="00DD1045">
              <w:rPr>
                <w:rFonts w:eastAsia="Times New Roman" w:cs="Times New Roman"/>
                <w:color w:val="202020"/>
                <w:kern w:val="0"/>
                <w:lang w:eastAsia="en-AU"/>
                <w14:ligatures w14:val="none"/>
              </w:rPr>
              <w:t>we are open and honest, and decisions made throughout their claim are unbiased. Workers are kept informed throughout the process.</w:t>
            </w:r>
          </w:p>
        </w:tc>
      </w:tr>
      <w:tr w:rsidR="004459F7" w:rsidRPr="00DD1045" w14:paraId="5BE13212" w14:textId="77777777" w:rsidTr="008D7EDE">
        <w:trPr>
          <w:trHeight w:hRule="exact" w:val="1701"/>
        </w:trPr>
        <w:tc>
          <w:tcPr>
            <w:tcW w:w="1857" w:type="dxa"/>
            <w:tcBorders>
              <w:left w:val="nil"/>
              <w:bottom w:val="single" w:sz="18" w:space="0" w:color="E7E6E6"/>
            </w:tcBorders>
          </w:tcPr>
          <w:p w14:paraId="1AB6D53D" w14:textId="77777777" w:rsidR="0039689C" w:rsidRPr="00DD1045" w:rsidRDefault="0039689C">
            <w:pPr>
              <w:pStyle w:val="ARDotpoints"/>
              <w:numPr>
                <w:ilvl w:val="0"/>
                <w:numId w:val="0"/>
              </w:numPr>
              <w:rPr>
                <w:b/>
                <w:bCs/>
              </w:rPr>
            </w:pPr>
            <w:r w:rsidRPr="00DD1045">
              <w:rPr>
                <w:b/>
                <w:bCs/>
              </w:rPr>
              <w:t>Consistent</w:t>
            </w:r>
          </w:p>
        </w:tc>
        <w:tc>
          <w:tcPr>
            <w:tcW w:w="3670" w:type="dxa"/>
            <w:tcBorders>
              <w:bottom w:val="single" w:sz="18" w:space="0" w:color="E7E6E6"/>
            </w:tcBorders>
          </w:tcPr>
          <w:p w14:paraId="731F44EC" w14:textId="558EC0F9" w:rsidR="0039689C" w:rsidRPr="00DD1045" w:rsidRDefault="0039689C">
            <w:pPr>
              <w:spacing w:line="259" w:lineRule="auto"/>
              <w:textAlignment w:val="baseline"/>
              <w:rPr>
                <w:rFonts w:ascii="Times New Roman" w:eastAsia="Times New Roman" w:hAnsi="Times New Roman" w:cs="Times New Roman"/>
                <w:color w:val="202020"/>
                <w:kern w:val="0"/>
                <w:sz w:val="24"/>
                <w:szCs w:val="24"/>
                <w:lang w:eastAsia="en-AU"/>
                <w14:ligatures w14:val="none"/>
              </w:rPr>
            </w:pPr>
            <w:r w:rsidRPr="00DD1045">
              <w:rPr>
                <w:rFonts w:eastAsia="Times New Roman" w:cs="Times New Roman"/>
                <w:color w:val="202020"/>
                <w:kern w:val="0"/>
                <w:lang w:eastAsia="en-AU"/>
                <w14:ligatures w14:val="none"/>
              </w:rPr>
              <w:t xml:space="preserve">Employers </w:t>
            </w:r>
            <w:r w:rsidRPr="598F4A27">
              <w:rPr>
                <w:rFonts w:eastAsia="Times New Roman" w:cs="Times New Roman"/>
                <w:color w:val="202020"/>
                <w:lang w:eastAsia="en-AU"/>
              </w:rPr>
              <w:t>receive the same information and experience,</w:t>
            </w:r>
            <w:r w:rsidRPr="00DD1045">
              <w:rPr>
                <w:rFonts w:eastAsia="Times New Roman" w:cs="Times New Roman"/>
                <w:color w:val="202020"/>
                <w:kern w:val="0"/>
                <w:lang w:eastAsia="en-AU"/>
                <w14:ligatures w14:val="none"/>
              </w:rPr>
              <w:t xml:space="preserve"> no matter who they talk to or how they engage with us.</w:t>
            </w:r>
          </w:p>
        </w:tc>
        <w:tc>
          <w:tcPr>
            <w:tcW w:w="3544" w:type="dxa"/>
            <w:tcBorders>
              <w:bottom w:val="single" w:sz="18" w:space="0" w:color="E7E6E6"/>
              <w:right w:val="nil"/>
            </w:tcBorders>
          </w:tcPr>
          <w:p w14:paraId="11A401AE" w14:textId="0A838AC1" w:rsidR="0039689C" w:rsidRPr="00DD1045" w:rsidRDefault="0039689C">
            <w:pPr>
              <w:spacing w:line="259" w:lineRule="auto"/>
              <w:rPr>
                <w:rFonts w:ascii="Times New Roman" w:eastAsia="Times New Roman" w:hAnsi="Times New Roman" w:cs="Times New Roman"/>
                <w:color w:val="202020"/>
                <w:sz w:val="24"/>
                <w:szCs w:val="24"/>
                <w:lang w:eastAsia="en-AU"/>
              </w:rPr>
            </w:pPr>
            <w:r w:rsidRPr="00DD1045">
              <w:rPr>
                <w:rFonts w:eastAsia="Times New Roman" w:cs="Times New Roman"/>
                <w:color w:val="202020"/>
                <w:kern w:val="0"/>
                <w:lang w:eastAsia="en-AU"/>
                <w14:ligatures w14:val="none"/>
              </w:rPr>
              <w:t>Workers</w:t>
            </w:r>
            <w:r w:rsidRPr="45813142">
              <w:rPr>
                <w:rFonts w:eastAsia="Times New Roman" w:cs="Times New Roman"/>
                <w:color w:val="202020"/>
                <w:lang w:eastAsia="en-AU"/>
              </w:rPr>
              <w:t xml:space="preserve"> receive the same information and experience, no matter who they talk to or how they engage with us</w:t>
            </w:r>
            <w:r w:rsidRPr="00DD1045">
              <w:rPr>
                <w:rFonts w:eastAsia="Times New Roman" w:cs="Times New Roman"/>
                <w:color w:val="202020"/>
                <w:kern w:val="0"/>
                <w:lang w:eastAsia="en-AU"/>
                <w14:ligatures w14:val="none"/>
              </w:rPr>
              <w:t>.</w:t>
            </w:r>
          </w:p>
        </w:tc>
      </w:tr>
    </w:tbl>
    <w:p w14:paraId="49ADBFA4" w14:textId="77777777" w:rsidR="002E4A02" w:rsidRPr="00DD1045" w:rsidRDefault="002E4A02">
      <w:r w:rsidRPr="00DD1045">
        <w:br w:type="page"/>
      </w:r>
    </w:p>
    <w:p w14:paraId="4585FB7F" w14:textId="6DF42148" w:rsidR="002E4A02" w:rsidRPr="00DD1045" w:rsidRDefault="002E4A02" w:rsidP="002E4A02">
      <w:pPr>
        <w:pStyle w:val="ARMainTitle"/>
        <w:pBdr>
          <w:bottom w:val="single" w:sz="4" w:space="1" w:color="auto"/>
        </w:pBdr>
      </w:pPr>
      <w:bookmarkStart w:id="19" w:name="_Toc172009630"/>
      <w:r w:rsidRPr="00DD1045">
        <w:lastRenderedPageBreak/>
        <w:t>Chair and CEO report</w:t>
      </w:r>
      <w:bookmarkEnd w:id="19"/>
    </w:p>
    <w:p w14:paraId="2DF8F146" w14:textId="77777777" w:rsidR="00040AFD" w:rsidRPr="00DD1045" w:rsidRDefault="00040AFD" w:rsidP="007D4E14">
      <w:pPr>
        <w:rPr>
          <w:rStyle w:val="normaltextrun"/>
          <w:rFonts w:cs="Segoe UI"/>
        </w:rPr>
        <w:sectPr w:rsidR="00040AFD" w:rsidRPr="00DD1045" w:rsidSect="0012721E">
          <w:type w:val="continuous"/>
          <w:pgSz w:w="11906" w:h="16838"/>
          <w:pgMar w:top="1440" w:right="1440" w:bottom="1440" w:left="1440" w:header="708" w:footer="708" w:gutter="0"/>
          <w:cols w:space="708"/>
          <w:docGrid w:linePitch="360"/>
        </w:sectPr>
      </w:pPr>
    </w:p>
    <w:p w14:paraId="32FDBA1F" w14:textId="1922C52A" w:rsidR="00EF3AF5" w:rsidRDefault="007D4E14" w:rsidP="008C408F">
      <w:pPr>
        <w:pStyle w:val="ARSub-heading2"/>
        <w:rPr>
          <w:rStyle w:val="normaltextrun"/>
          <w:rFonts w:cs="Segoe UI"/>
          <w:b/>
          <w:bCs/>
        </w:rPr>
      </w:pPr>
      <w:r w:rsidRPr="00DD1045">
        <w:rPr>
          <w:rStyle w:val="normaltextrun"/>
          <w:rFonts w:cs="Segoe UI"/>
        </w:rPr>
        <w:t xml:space="preserve">WorkCover Queensland has had another strong year in the face of external challenges, supporting more than </w:t>
      </w:r>
      <w:r w:rsidR="00122906">
        <w:rPr>
          <w:rStyle w:val="normaltextrun"/>
          <w:rFonts w:cs="Segoe UI"/>
        </w:rPr>
        <w:t>74,</w:t>
      </w:r>
      <w:r w:rsidRPr="00F9633B">
        <w:rPr>
          <w:rStyle w:val="normaltextrun"/>
          <w:rFonts w:cs="Segoe UI"/>
        </w:rPr>
        <w:t xml:space="preserve">000 Queenslanders injured at work with their recovery, helping </w:t>
      </w:r>
      <w:r w:rsidR="00122906">
        <w:rPr>
          <w:rStyle w:val="normaltextrun"/>
          <w:rFonts w:cs="Segoe UI"/>
        </w:rPr>
        <w:t>90.4%</w:t>
      </w:r>
      <w:r w:rsidRPr="00F9633B">
        <w:rPr>
          <w:rStyle w:val="normaltextrun"/>
          <w:rFonts w:cs="Segoe UI"/>
        </w:rPr>
        <w:t xml:space="preserve"> of them return to work, and </w:t>
      </w:r>
      <w:r w:rsidR="00311DD5">
        <w:rPr>
          <w:rStyle w:val="normaltextrun"/>
          <w:rFonts w:cs="Segoe UI"/>
        </w:rPr>
        <w:t>providing worker</w:t>
      </w:r>
      <w:r w:rsidR="007402A7">
        <w:rPr>
          <w:rStyle w:val="normaltextrun"/>
          <w:rFonts w:cs="Segoe UI"/>
        </w:rPr>
        <w:t>s’ compensation coverage for</w:t>
      </w:r>
      <w:r w:rsidRPr="00F9633B">
        <w:rPr>
          <w:rStyle w:val="normaltextrun"/>
          <w:rFonts w:cs="Segoe UI"/>
        </w:rPr>
        <w:t xml:space="preserve"> more than 17</w:t>
      </w:r>
      <w:r w:rsidR="00352D2D" w:rsidRPr="00F9633B">
        <w:rPr>
          <w:rStyle w:val="normaltextrun"/>
          <w:rFonts w:cs="Segoe UI"/>
        </w:rPr>
        <w:t>5</w:t>
      </w:r>
      <w:r w:rsidRPr="00F9633B">
        <w:rPr>
          <w:rStyle w:val="normaltextrun"/>
          <w:rFonts w:cs="Segoe UI"/>
        </w:rPr>
        <w:t>,000</w:t>
      </w:r>
      <w:r w:rsidRPr="00152425">
        <w:rPr>
          <w:rStyle w:val="normaltextrun"/>
          <w:rFonts w:cs="Segoe UI"/>
        </w:rPr>
        <w:t xml:space="preserve"> </w:t>
      </w:r>
      <w:r w:rsidRPr="00DD1045">
        <w:rPr>
          <w:rStyle w:val="normaltextrun"/>
          <w:rFonts w:cs="Segoe UI"/>
        </w:rPr>
        <w:t>Queensland businesses</w:t>
      </w:r>
      <w:r w:rsidR="007402A7">
        <w:rPr>
          <w:rStyle w:val="normaltextrun"/>
          <w:rFonts w:cs="Segoe UI"/>
        </w:rPr>
        <w:t>.</w:t>
      </w:r>
      <w:r w:rsidRPr="00DD1045">
        <w:rPr>
          <w:rStyle w:val="normaltextrun"/>
          <w:rFonts w:cs="Segoe UI"/>
          <w:b/>
          <w:bCs/>
        </w:rPr>
        <w:t> </w:t>
      </w:r>
    </w:p>
    <w:p w14:paraId="7F7F3CB7" w14:textId="4ADC1452" w:rsidR="00E64CF8" w:rsidRDefault="00822A4D" w:rsidP="008C408F">
      <w:pPr>
        <w:pStyle w:val="ARSub-heading2"/>
        <w:rPr>
          <w:rStyle w:val="normaltextrun"/>
          <w:rFonts w:cs="Segoe UI"/>
        </w:rPr>
      </w:pPr>
      <w:r>
        <w:rPr>
          <w:rStyle w:val="normaltextrun"/>
          <w:rFonts w:cs="Segoe UI"/>
        </w:rPr>
        <w:t>We continue to have one of the lowest average premium rates in the country, and a high return to work rate.</w:t>
      </w:r>
    </w:p>
    <w:p w14:paraId="1DB5C0CE" w14:textId="77777777" w:rsidR="00822A4D" w:rsidRDefault="00822A4D" w:rsidP="008C408F">
      <w:pPr>
        <w:pStyle w:val="ARSub-heading2"/>
        <w:rPr>
          <w:rStyle w:val="normaltextrun"/>
          <w:rFonts w:cs="Segoe UI"/>
        </w:rPr>
        <w:sectPr w:rsidR="00822A4D" w:rsidSect="008C408F">
          <w:type w:val="continuous"/>
          <w:pgSz w:w="11906" w:h="16838"/>
          <w:pgMar w:top="1440" w:right="1440" w:bottom="1440" w:left="1440" w:header="708" w:footer="708" w:gutter="0"/>
          <w:cols w:space="708"/>
          <w:docGrid w:linePitch="360"/>
        </w:sectPr>
      </w:pPr>
    </w:p>
    <w:p w14:paraId="7DAD41FD" w14:textId="77777777" w:rsidR="00D439E3" w:rsidRPr="00B562E7" w:rsidRDefault="00D439E3" w:rsidP="00F033FC">
      <w:pPr>
        <w:pStyle w:val="paragraph"/>
        <w:spacing w:before="0" w:beforeAutospacing="0" w:after="0" w:afterAutospacing="0"/>
        <w:textAlignment w:val="baseline"/>
        <w:rPr>
          <w:rFonts w:ascii="Source Sans Pro" w:hAnsi="Source Sans Pro"/>
          <w:sz w:val="20"/>
          <w:szCs w:val="20"/>
        </w:rPr>
      </w:pPr>
    </w:p>
    <w:p w14:paraId="755AD037" w14:textId="77777777" w:rsidR="008C408F" w:rsidRDefault="008C408F" w:rsidP="00E87864">
      <w:pPr>
        <w:pStyle w:val="ARHeading1"/>
        <w:sectPr w:rsidR="008C408F" w:rsidSect="008C408F">
          <w:type w:val="continuous"/>
          <w:pgSz w:w="11906" w:h="16838"/>
          <w:pgMar w:top="1440" w:right="1440" w:bottom="1440" w:left="1440" w:header="708" w:footer="708" w:gutter="0"/>
          <w:cols w:space="708"/>
          <w:docGrid w:linePitch="360"/>
        </w:sectPr>
      </w:pPr>
      <w:bookmarkStart w:id="20" w:name="_Toc172009631"/>
    </w:p>
    <w:p w14:paraId="1C91D7D0" w14:textId="77777777" w:rsidR="002D5EA9" w:rsidRPr="00DD1045" w:rsidRDefault="002D5EA9" w:rsidP="002D5EA9">
      <w:pPr>
        <w:pStyle w:val="ARHeading1"/>
      </w:pPr>
      <w:r w:rsidRPr="00DD1045">
        <w:t>Our financial performance</w:t>
      </w:r>
    </w:p>
    <w:p w14:paraId="221108F3" w14:textId="5B40364C" w:rsidR="002D5EA9" w:rsidRPr="00DD1045" w:rsidRDefault="002D5EA9" w:rsidP="002D5EA9">
      <w:pPr>
        <w:rPr>
          <w:rFonts w:ascii="Segoe UI" w:hAnsi="Segoe UI"/>
          <w:sz w:val="16"/>
          <w:szCs w:val="16"/>
        </w:rPr>
      </w:pPr>
      <w:r w:rsidRPr="00DD1045">
        <w:rPr>
          <w:rStyle w:val="normaltextrun"/>
          <w:rFonts w:cs="Segoe UI"/>
        </w:rPr>
        <w:t>We remain in a secure financial position, offering one of Australia’s lowest average premium rates and value for money for employers, and a funding ratio</w:t>
      </w:r>
      <w:r w:rsidR="00122906">
        <w:rPr>
          <w:rStyle w:val="normaltextrun"/>
          <w:rFonts w:cs="Segoe UI"/>
        </w:rPr>
        <w:t xml:space="preserve"> of over 120%</w:t>
      </w:r>
      <w:r w:rsidRPr="00DD1045">
        <w:rPr>
          <w:rStyle w:val="normaltextrun"/>
          <w:rFonts w:cs="Segoe UI"/>
        </w:rPr>
        <w:t xml:space="preserve"> to ensure the stability of Queensland’s workers’ compensation scheme.</w:t>
      </w:r>
      <w:r w:rsidRPr="00DD1045">
        <w:rPr>
          <w:rStyle w:val="eop"/>
          <w:rFonts w:cs="Segoe UI"/>
        </w:rPr>
        <w:t> </w:t>
      </w:r>
    </w:p>
    <w:p w14:paraId="02912993" w14:textId="2199495E" w:rsidR="002D5EA9" w:rsidRDefault="002D5EA9" w:rsidP="002D5EA9">
      <w:pPr>
        <w:rPr>
          <w:rStyle w:val="eop"/>
          <w:rFonts w:cs="Segoe UI"/>
        </w:rPr>
      </w:pPr>
      <w:r w:rsidRPr="00DD1045">
        <w:rPr>
          <w:rStyle w:val="normaltextrun"/>
          <w:rFonts w:cs="Segoe UI"/>
        </w:rPr>
        <w:t xml:space="preserve">While we still </w:t>
      </w:r>
      <w:r w:rsidR="0071444D">
        <w:rPr>
          <w:rStyle w:val="normaltextrun"/>
          <w:rFonts w:cs="Segoe UI"/>
        </w:rPr>
        <w:t>continue to face</w:t>
      </w:r>
      <w:r w:rsidRPr="00DD1045">
        <w:rPr>
          <w:rStyle w:val="normaltextrun"/>
          <w:rFonts w:cs="Segoe UI"/>
        </w:rPr>
        <w:t xml:space="preserve"> the same challenges being experienced nationally, such as rising claim costs and an increasing number of mental injury claims, we have been able to keep our fund financially sustainable with low operational costs and careful financial management. We have the lowest administrative costs nationally, with the highest percentage of premium</w:t>
      </w:r>
      <w:r>
        <w:rPr>
          <w:rStyle w:val="normaltextrun"/>
          <w:rFonts w:cs="Segoe UI"/>
        </w:rPr>
        <w:t xml:space="preserve"> revenue</w:t>
      </w:r>
      <w:r w:rsidRPr="00DD1045">
        <w:rPr>
          <w:rStyle w:val="normaltextrun"/>
          <w:rFonts w:cs="Segoe UI"/>
        </w:rPr>
        <w:t xml:space="preserve"> going directly to injured workers.</w:t>
      </w:r>
      <w:r w:rsidRPr="00DD1045">
        <w:rPr>
          <w:rStyle w:val="eop"/>
          <w:rFonts w:cs="Segoe UI"/>
        </w:rPr>
        <w:t> </w:t>
      </w:r>
    </w:p>
    <w:p w14:paraId="3FCE3BB8" w14:textId="77777777" w:rsidR="002D5EA9" w:rsidRPr="00DD1045" w:rsidRDefault="002D5EA9" w:rsidP="002D5EA9">
      <w:pPr>
        <w:rPr>
          <w:rStyle w:val="eop"/>
          <w:rFonts w:cs="Segoe UI"/>
        </w:rPr>
      </w:pPr>
    </w:p>
    <w:p w14:paraId="7DA7BE5E" w14:textId="77777777" w:rsidR="00E87864" w:rsidRPr="00DD1045" w:rsidRDefault="00E87864" w:rsidP="00E87864">
      <w:pPr>
        <w:pStyle w:val="ARHeading1"/>
      </w:pPr>
      <w:r w:rsidRPr="00DD1045">
        <w:t>Mental injuries</w:t>
      </w:r>
      <w:bookmarkEnd w:id="20"/>
    </w:p>
    <w:p w14:paraId="04EF1499" w14:textId="77777777" w:rsidR="00EF3AF5" w:rsidRDefault="001F1114" w:rsidP="001F1114">
      <w:pPr>
        <w:rPr>
          <w:rStyle w:val="normaltextrun"/>
          <w:rFonts w:cs="Segoe UI"/>
        </w:rPr>
      </w:pPr>
      <w:r w:rsidRPr="7FB997FD">
        <w:rPr>
          <w:rStyle w:val="normaltextrun"/>
          <w:rFonts w:cs="Segoe UI"/>
        </w:rPr>
        <w:t xml:space="preserve">In line with the national trend, mental injury claims continue to place pressure on Queensland’s scheme. </w:t>
      </w:r>
      <w:r w:rsidRPr="7FB997FD">
        <w:rPr>
          <w:rStyle w:val="normaltextrun"/>
          <w:rFonts w:cs="Segoe UI"/>
          <w:color w:val="11100F"/>
        </w:rPr>
        <w:t xml:space="preserve">Workers with mental injuries have </w:t>
      </w:r>
      <w:r w:rsidR="009B33EB" w:rsidRPr="7FB997FD">
        <w:rPr>
          <w:rStyle w:val="normaltextrun"/>
          <w:rFonts w:cs="Segoe UI"/>
          <w:color w:val="11100F"/>
        </w:rPr>
        <w:t xml:space="preserve">more time off </w:t>
      </w:r>
      <w:r w:rsidRPr="7FB997FD">
        <w:rPr>
          <w:rStyle w:val="normaltextrun"/>
          <w:rFonts w:cs="Segoe UI"/>
          <w:color w:val="11100F"/>
        </w:rPr>
        <w:t xml:space="preserve">work, higher average annual statutory claim costs and </w:t>
      </w:r>
      <w:r w:rsidR="3EA4FC89" w:rsidRPr="7FB997FD">
        <w:rPr>
          <w:rStyle w:val="normaltextrun"/>
          <w:rFonts w:cs="Segoe UI"/>
          <w:color w:val="11100F"/>
        </w:rPr>
        <w:t xml:space="preserve">are less likely to </w:t>
      </w:r>
      <w:r w:rsidRPr="7FB997FD">
        <w:rPr>
          <w:rStyle w:val="normaltextrun"/>
          <w:rFonts w:cs="Segoe UI"/>
          <w:color w:val="11100F"/>
        </w:rPr>
        <w:t>return to work.</w:t>
      </w:r>
      <w:r w:rsidRPr="7FB997FD">
        <w:rPr>
          <w:rStyle w:val="normaltextrun"/>
          <w:rFonts w:cs="Segoe UI"/>
        </w:rPr>
        <w:t> </w:t>
      </w:r>
    </w:p>
    <w:p w14:paraId="5EF60EC0" w14:textId="05962123" w:rsidR="001F1114" w:rsidRPr="00DD1045" w:rsidRDefault="001F1114" w:rsidP="001F1114">
      <w:pPr>
        <w:rPr>
          <w:rFonts w:ascii="Segoe UI" w:hAnsi="Segoe UI"/>
        </w:rPr>
      </w:pPr>
      <w:r w:rsidRPr="00DD1045">
        <w:rPr>
          <w:rStyle w:val="normaltextrun"/>
          <w:rFonts w:cs="Segoe UI"/>
        </w:rPr>
        <w:t>In 2023</w:t>
      </w:r>
      <w:r w:rsidR="00C416C6">
        <w:t>–</w:t>
      </w:r>
      <w:r w:rsidRPr="00DD1045">
        <w:rPr>
          <w:rStyle w:val="normaltextrun"/>
          <w:rFonts w:cs="Segoe UI"/>
        </w:rPr>
        <w:t>2024, there were</w:t>
      </w:r>
      <w:r w:rsidR="005739CF">
        <w:rPr>
          <w:rStyle w:val="normaltextrun"/>
          <w:rFonts w:cs="Segoe UI"/>
        </w:rPr>
        <w:t xml:space="preserve"> 3,364</w:t>
      </w:r>
      <w:r w:rsidRPr="00DD1045">
        <w:rPr>
          <w:rStyle w:val="normaltextrun"/>
          <w:rFonts w:cs="Segoe UI"/>
        </w:rPr>
        <w:t xml:space="preserve"> </w:t>
      </w:r>
      <w:r w:rsidRPr="005739CF">
        <w:rPr>
          <w:rStyle w:val="normaltextrun"/>
          <w:rFonts w:cs="Segoe UI"/>
        </w:rPr>
        <w:t xml:space="preserve">accepted </w:t>
      </w:r>
      <w:r w:rsidR="004F6630" w:rsidRPr="005739CF">
        <w:rPr>
          <w:rStyle w:val="normaltextrun"/>
          <w:rFonts w:cs="Segoe UI"/>
        </w:rPr>
        <w:t xml:space="preserve">primary </w:t>
      </w:r>
      <w:r w:rsidRPr="005739CF">
        <w:rPr>
          <w:rStyle w:val="normaltextrun"/>
          <w:rFonts w:cs="Segoe UI"/>
        </w:rPr>
        <w:t>mental injury claims, and they accounted for</w:t>
      </w:r>
      <w:r w:rsidR="005739CF">
        <w:rPr>
          <w:rStyle w:val="normaltextrun"/>
          <w:rFonts w:cs="Segoe UI"/>
        </w:rPr>
        <w:t xml:space="preserve"> 14%</w:t>
      </w:r>
      <w:r w:rsidRPr="005739CF">
        <w:rPr>
          <w:rStyle w:val="normaltextrun"/>
          <w:rFonts w:cs="Segoe UI"/>
        </w:rPr>
        <w:t xml:space="preserve"> </w:t>
      </w:r>
      <w:r w:rsidRPr="00DD1045">
        <w:rPr>
          <w:rStyle w:val="normaltextrun"/>
          <w:rFonts w:cs="Segoe UI"/>
        </w:rPr>
        <w:t>of total statutory claim costs. </w:t>
      </w:r>
    </w:p>
    <w:p w14:paraId="20A0C8C6" w14:textId="28CF8A25" w:rsidR="001F1114" w:rsidRPr="00DD1045" w:rsidRDefault="20CB5E25" w:rsidP="4959B367">
      <w:pPr>
        <w:rPr>
          <w:rStyle w:val="eop"/>
          <w:rFonts w:cs="Segoe UI"/>
        </w:rPr>
      </w:pPr>
      <w:r w:rsidRPr="4959B367">
        <w:rPr>
          <w:rStyle w:val="normaltextrun"/>
          <w:rFonts w:cs="Segoe UI"/>
        </w:rPr>
        <w:t>W</w:t>
      </w:r>
      <w:r w:rsidRPr="4959B367">
        <w:rPr>
          <w:rFonts w:cs="Segoe UI"/>
        </w:rPr>
        <w:t xml:space="preserve">e are </w:t>
      </w:r>
      <w:r w:rsidR="0071444D">
        <w:rPr>
          <w:rFonts w:cs="Segoe UI"/>
        </w:rPr>
        <w:t xml:space="preserve">working hard to </w:t>
      </w:r>
      <w:r w:rsidRPr="4959B367">
        <w:rPr>
          <w:rFonts w:cs="Segoe UI"/>
        </w:rPr>
        <w:t>improv</w:t>
      </w:r>
      <w:r w:rsidR="0071444D">
        <w:rPr>
          <w:rFonts w:cs="Segoe UI"/>
        </w:rPr>
        <w:t>e</w:t>
      </w:r>
      <w:r w:rsidRPr="4959B367">
        <w:rPr>
          <w:rFonts w:cs="Segoe UI"/>
        </w:rPr>
        <w:t xml:space="preserve"> our practices</w:t>
      </w:r>
      <w:r w:rsidR="085012B8" w:rsidRPr="4959B367">
        <w:rPr>
          <w:rFonts w:cs="Segoe UI"/>
        </w:rPr>
        <w:t xml:space="preserve"> in the management of these claims</w:t>
      </w:r>
      <w:r w:rsidRPr="4959B367">
        <w:rPr>
          <w:rFonts w:cs="Segoe UI"/>
        </w:rPr>
        <w:t>, informed by evidence-based approaches</w:t>
      </w:r>
      <w:r w:rsidR="7D64B515" w:rsidRPr="4959B367">
        <w:rPr>
          <w:rFonts w:cs="Segoe UI"/>
        </w:rPr>
        <w:t>, customer research</w:t>
      </w:r>
      <w:r w:rsidRPr="4959B367">
        <w:rPr>
          <w:rFonts w:cs="Segoe UI"/>
        </w:rPr>
        <w:t xml:space="preserve"> and stakeholder feedback</w:t>
      </w:r>
      <w:r w:rsidRPr="4959B367">
        <w:rPr>
          <w:rStyle w:val="normaltextrun"/>
          <w:rFonts w:cs="Segoe UI"/>
        </w:rPr>
        <w:t xml:space="preserve">. </w:t>
      </w:r>
      <w:r w:rsidR="47633F9D" w:rsidRPr="4959B367">
        <w:rPr>
          <w:rStyle w:val="normaltextrun"/>
          <w:rFonts w:cs="Segoe UI"/>
        </w:rPr>
        <w:t xml:space="preserve">We have established a dedicated mental injuries program to address this growing trend, particularly around </w:t>
      </w:r>
      <w:r w:rsidR="17030DDC" w:rsidRPr="4959B367">
        <w:rPr>
          <w:rStyle w:val="normaltextrun"/>
          <w:rFonts w:cs="Segoe UI"/>
        </w:rPr>
        <w:t xml:space="preserve">our claims management processes and </w:t>
      </w:r>
      <w:r w:rsidR="47633F9D" w:rsidRPr="4959B367">
        <w:rPr>
          <w:rStyle w:val="normaltextrun"/>
          <w:rFonts w:cs="Segoe UI"/>
        </w:rPr>
        <w:t xml:space="preserve">how employers can support workers and influence return to work outcomes in mental injury claims. This program </w:t>
      </w:r>
      <w:r w:rsidR="47633F9D" w:rsidRPr="4959B367">
        <w:rPr>
          <w:rStyle w:val="normaltextrun"/>
          <w:rFonts w:cs="Segoe UI"/>
        </w:rPr>
        <w:t>seeks to reimagine claims management for mental injuries to drive better outcomes and</w:t>
      </w:r>
      <w:r w:rsidR="7ECD0230" w:rsidRPr="4959B367">
        <w:rPr>
          <w:rStyle w:val="normaltextrun"/>
          <w:rFonts w:cs="Segoe UI"/>
        </w:rPr>
        <w:t xml:space="preserve"> better support workers with a mental injury. We will </w:t>
      </w:r>
      <w:r w:rsidR="002F4C81">
        <w:rPr>
          <w:rStyle w:val="normaltextrun"/>
          <w:rFonts w:cs="Segoe UI"/>
        </w:rPr>
        <w:t xml:space="preserve">continue to </w:t>
      </w:r>
      <w:r w:rsidR="47633F9D" w:rsidRPr="4959B367">
        <w:rPr>
          <w:rStyle w:val="normaltextrun"/>
          <w:rFonts w:cs="Segoe UI"/>
        </w:rPr>
        <w:t xml:space="preserve">work closely with our customers to leverage the important role of the employer in rehabilitation and return to work. </w:t>
      </w:r>
      <w:hyperlink r:id="rId29">
        <w:r w:rsidR="47633F9D" w:rsidRPr="4959B367">
          <w:rPr>
            <w:rStyle w:val="normaltextrun"/>
            <w:rFonts w:cs="Segoe UI"/>
          </w:rPr>
          <w:t>Research from Monash University</w:t>
        </w:r>
      </w:hyperlink>
      <w:r w:rsidR="47633F9D" w:rsidRPr="4959B367">
        <w:rPr>
          <w:rStyle w:val="normaltextrun"/>
          <w:rFonts w:cs="Segoe UI"/>
        </w:rPr>
        <w:t xml:space="preserve"> [Employer Support for Injured Australian Workers: Overview and Association with Return to Work, 2018] has shown that workers who report feeling supported by their employer are more likely to have a positive return to work outcome.</w:t>
      </w:r>
      <w:r w:rsidR="47633F9D" w:rsidRPr="4959B367">
        <w:rPr>
          <w:rStyle w:val="normaltextrun"/>
        </w:rPr>
        <w:t> </w:t>
      </w:r>
      <w:r w:rsidR="3284EE24" w:rsidRPr="4959B367">
        <w:rPr>
          <w:rStyle w:val="eop"/>
          <w:rFonts w:cs="Segoe UI"/>
        </w:rPr>
        <w:t>The first series of resources for employers will launch in the first quarter of 2024</w:t>
      </w:r>
      <w:r w:rsidR="3284EE24">
        <w:t>–</w:t>
      </w:r>
      <w:r w:rsidR="3284EE24" w:rsidRPr="4959B367">
        <w:rPr>
          <w:rStyle w:val="eop"/>
          <w:rFonts w:cs="Segoe UI"/>
        </w:rPr>
        <w:t>2025.</w:t>
      </w:r>
    </w:p>
    <w:p w14:paraId="193EBE12" w14:textId="77777777" w:rsidR="00D63334" w:rsidRDefault="46AC80E1" w:rsidP="001F1114">
      <w:pPr>
        <w:rPr>
          <w:rStyle w:val="normaltextrun"/>
          <w:rFonts w:cs="Segoe UI"/>
        </w:rPr>
      </w:pPr>
      <w:r w:rsidRPr="4959B367">
        <w:rPr>
          <w:rStyle w:val="normaltextrun"/>
          <w:rFonts w:cs="Segoe UI"/>
        </w:rPr>
        <w:t>This year</w:t>
      </w:r>
      <w:r w:rsidR="47633F9D" w:rsidRPr="4959B367">
        <w:rPr>
          <w:rStyle w:val="normaltextrun"/>
          <w:rFonts w:cs="Segoe UI"/>
        </w:rPr>
        <w:t xml:space="preserve"> we </w:t>
      </w:r>
      <w:r w:rsidR="63A8B237" w:rsidRPr="4959B367">
        <w:rPr>
          <w:rStyle w:val="normaltextrun"/>
          <w:rFonts w:cs="Segoe UI"/>
        </w:rPr>
        <w:t xml:space="preserve">piloted </w:t>
      </w:r>
      <w:r w:rsidRPr="4959B367">
        <w:rPr>
          <w:rStyle w:val="normaltextrun"/>
          <w:rFonts w:cs="Segoe UI"/>
        </w:rPr>
        <w:t xml:space="preserve">a centralised determination team for mental injuries and saw a reduction in the average days to decision. </w:t>
      </w:r>
      <w:r w:rsidR="099A17DA" w:rsidRPr="4959B367">
        <w:rPr>
          <w:rStyle w:val="normaltextrun"/>
          <w:rFonts w:cs="Segoe UI"/>
        </w:rPr>
        <w:t>We will expand this approach in 2024</w:t>
      </w:r>
      <w:r w:rsidR="0E72C116">
        <w:t>–2025</w:t>
      </w:r>
      <w:r w:rsidR="099A17DA" w:rsidRPr="4959B367">
        <w:rPr>
          <w:rStyle w:val="normaltextrun"/>
          <w:rFonts w:cs="Segoe UI"/>
        </w:rPr>
        <w:t xml:space="preserve">. </w:t>
      </w:r>
    </w:p>
    <w:p w14:paraId="7402136D" w14:textId="2AC1E334" w:rsidR="6DFC5D44" w:rsidRDefault="6DFC5D44" w:rsidP="4959B367">
      <w:pPr>
        <w:rPr>
          <w:rStyle w:val="normaltextrun"/>
          <w:rFonts w:cs="Segoe UI"/>
        </w:rPr>
      </w:pPr>
      <w:r w:rsidRPr="4959B367">
        <w:rPr>
          <w:rStyle w:val="normaltextrun"/>
          <w:rFonts w:cs="Segoe UI"/>
        </w:rPr>
        <w:t xml:space="preserve">While we have made some improvements in the mental injury space this year, we know there is more to </w:t>
      </w:r>
      <w:r w:rsidR="00664BC6" w:rsidRPr="4959B367">
        <w:rPr>
          <w:rStyle w:val="normaltextrun"/>
          <w:rFonts w:cs="Segoe UI"/>
        </w:rPr>
        <w:t>do,</w:t>
      </w:r>
      <w:r w:rsidRPr="4959B367">
        <w:rPr>
          <w:rStyle w:val="normaltextrun"/>
          <w:rFonts w:cs="Segoe UI"/>
        </w:rPr>
        <w:t xml:space="preserve"> and we remained focused on this as a key strategic priority. </w:t>
      </w:r>
    </w:p>
    <w:p w14:paraId="78F69326" w14:textId="3F911B6E" w:rsidR="00DE1105" w:rsidRDefault="00DE1105" w:rsidP="001F1114">
      <w:pPr>
        <w:rPr>
          <w:rStyle w:val="eop"/>
          <w:rFonts w:cs="Segoe UI"/>
        </w:rPr>
      </w:pPr>
    </w:p>
    <w:p w14:paraId="1CC96B08" w14:textId="77777777" w:rsidR="00E87864" w:rsidRPr="00DD1045" w:rsidRDefault="00E87864" w:rsidP="001F1114">
      <w:pPr>
        <w:pStyle w:val="ARHeading1"/>
      </w:pPr>
      <w:bookmarkStart w:id="21" w:name="_Toc172009632"/>
      <w:r w:rsidRPr="00DD1045">
        <w:t>Claim decisions</w:t>
      </w:r>
      <w:bookmarkEnd w:id="21"/>
    </w:p>
    <w:p w14:paraId="2C7D8503" w14:textId="070240CF" w:rsidR="00AA16FB" w:rsidRPr="00DD1045" w:rsidRDefault="006D66B6" w:rsidP="00B562E7">
      <w:r w:rsidRPr="00DD1045">
        <w:rPr>
          <w:rStyle w:val="normaltextrun"/>
          <w:color w:val="000000"/>
          <w:shd w:val="clear" w:color="auto" w:fill="FFFFFF"/>
        </w:rPr>
        <w:t xml:space="preserve">Improving claims decision timeframes is a key priority and we are pleased to report </w:t>
      </w:r>
      <w:r w:rsidRPr="00E355AC">
        <w:rPr>
          <w:rStyle w:val="normaltextrun"/>
          <w:color w:val="000000"/>
          <w:shd w:val="clear" w:color="auto" w:fill="FFFFFF"/>
        </w:rPr>
        <w:t xml:space="preserve">that </w:t>
      </w:r>
      <w:r w:rsidR="003721BB" w:rsidRPr="00E355AC">
        <w:rPr>
          <w:rStyle w:val="normaltextrun"/>
          <w:color w:val="000000"/>
          <w:shd w:val="clear" w:color="auto" w:fill="FFFFFF"/>
        </w:rPr>
        <w:t>in 2023</w:t>
      </w:r>
      <w:r w:rsidR="00511358" w:rsidRPr="00E355AC">
        <w:t>–</w:t>
      </w:r>
      <w:r w:rsidR="003721BB" w:rsidRPr="00E355AC">
        <w:rPr>
          <w:rStyle w:val="normaltextrun"/>
          <w:color w:val="000000"/>
          <w:shd w:val="clear" w:color="auto" w:fill="FFFFFF"/>
        </w:rPr>
        <w:t xml:space="preserve">2024 </w:t>
      </w:r>
      <w:r w:rsidR="00D76A60" w:rsidRPr="00E355AC">
        <w:rPr>
          <w:rStyle w:val="normaltextrun"/>
          <w:color w:val="000000"/>
          <w:shd w:val="clear" w:color="auto" w:fill="FFFFFF"/>
        </w:rPr>
        <w:t>we</w:t>
      </w:r>
      <w:r w:rsidRPr="00E355AC">
        <w:rPr>
          <w:rStyle w:val="normaltextrun"/>
          <w:color w:val="000000"/>
          <w:shd w:val="clear" w:color="auto" w:fill="FFFFFF"/>
        </w:rPr>
        <w:t xml:space="preserve"> determin</w:t>
      </w:r>
      <w:r w:rsidR="00D76A60" w:rsidRPr="00E355AC">
        <w:rPr>
          <w:rStyle w:val="normaltextrun"/>
          <w:color w:val="000000"/>
          <w:shd w:val="clear" w:color="auto" w:fill="FFFFFF"/>
        </w:rPr>
        <w:t>ed</w:t>
      </w:r>
      <w:r w:rsidRPr="00DD1045">
        <w:rPr>
          <w:rStyle w:val="normaltextrun"/>
          <w:color w:val="000000"/>
          <w:shd w:val="clear" w:color="auto" w:fill="FFFFFF"/>
        </w:rPr>
        <w:t xml:space="preserve"> </w:t>
      </w:r>
      <w:r w:rsidR="005739CF">
        <w:rPr>
          <w:rStyle w:val="normaltextrun"/>
          <w:color w:val="000000"/>
          <w:shd w:val="clear" w:color="auto" w:fill="FFFFFF"/>
        </w:rPr>
        <w:t>62</w:t>
      </w:r>
      <w:r w:rsidR="00324325">
        <w:rPr>
          <w:rStyle w:val="normaltextrun"/>
          <w:color w:val="000000"/>
          <w:shd w:val="clear" w:color="auto" w:fill="FFFFFF"/>
        </w:rPr>
        <w:t>.6%</w:t>
      </w:r>
      <w:r w:rsidRPr="00DD1045">
        <w:rPr>
          <w:rStyle w:val="normaltextrun"/>
          <w:color w:val="000000"/>
          <w:shd w:val="clear" w:color="auto" w:fill="FFFFFF"/>
        </w:rPr>
        <w:t xml:space="preserve"> of claims in </w:t>
      </w:r>
      <w:r w:rsidR="005B6E32">
        <w:rPr>
          <w:rStyle w:val="normaltextrun"/>
          <w:color w:val="000000"/>
          <w:shd w:val="clear" w:color="auto" w:fill="FFFFFF"/>
        </w:rPr>
        <w:t>five (</w:t>
      </w:r>
      <w:r w:rsidRPr="00DD1045">
        <w:rPr>
          <w:rStyle w:val="normaltextrun"/>
          <w:color w:val="000000"/>
          <w:shd w:val="clear" w:color="auto" w:fill="FFFFFF"/>
        </w:rPr>
        <w:t>5</w:t>
      </w:r>
      <w:r w:rsidR="005B6E32">
        <w:rPr>
          <w:rStyle w:val="normaltextrun"/>
          <w:color w:val="000000"/>
          <w:shd w:val="clear" w:color="auto" w:fill="FFFFFF"/>
        </w:rPr>
        <w:t>)</w:t>
      </w:r>
      <w:r w:rsidRPr="00DD1045">
        <w:rPr>
          <w:rStyle w:val="normaltextrun"/>
          <w:color w:val="000000"/>
          <w:shd w:val="clear" w:color="auto" w:fill="FFFFFF"/>
        </w:rPr>
        <w:t xml:space="preserve"> days, and </w:t>
      </w:r>
      <w:r w:rsidR="00324325">
        <w:rPr>
          <w:rStyle w:val="normaltextrun"/>
          <w:color w:val="000000"/>
          <w:shd w:val="clear" w:color="auto" w:fill="FFFFFF"/>
        </w:rPr>
        <w:t xml:space="preserve">91.7% </w:t>
      </w:r>
      <w:r w:rsidRPr="00DD1045">
        <w:rPr>
          <w:rStyle w:val="normaltextrun"/>
          <w:color w:val="000000"/>
          <w:shd w:val="clear" w:color="auto" w:fill="FFFFFF"/>
        </w:rPr>
        <w:t xml:space="preserve">in 20 days. We are </w:t>
      </w:r>
      <w:r w:rsidR="00726C8B">
        <w:rPr>
          <w:rStyle w:val="normaltextrun"/>
          <w:color w:val="000000"/>
          <w:shd w:val="clear" w:color="auto" w:fill="FFFFFF"/>
        </w:rPr>
        <w:t>committed to</w:t>
      </w:r>
      <w:r w:rsidRPr="00DD1045">
        <w:rPr>
          <w:rStyle w:val="normaltextrun"/>
          <w:color w:val="000000"/>
          <w:shd w:val="clear" w:color="auto" w:fill="FFFFFF"/>
        </w:rPr>
        <w:t xml:space="preserve"> giving our customers certainty as soon as possible so they can focus on getting better and back to work.</w:t>
      </w:r>
      <w:r w:rsidRPr="00DD1045">
        <w:rPr>
          <w:rStyle w:val="eop"/>
          <w:color w:val="000000"/>
          <w:shd w:val="clear" w:color="auto" w:fill="FFFFFF"/>
        </w:rPr>
        <w:t> </w:t>
      </w:r>
      <w:r w:rsidR="00726C8B">
        <w:rPr>
          <w:rStyle w:val="eop"/>
          <w:color w:val="000000"/>
          <w:shd w:val="clear" w:color="auto" w:fill="FFFFFF"/>
        </w:rPr>
        <w:t>Quality and timely decisions remain an ongoing priority.</w:t>
      </w:r>
    </w:p>
    <w:p w14:paraId="10C47898" w14:textId="77777777" w:rsidR="00040AFD" w:rsidRDefault="00040AFD" w:rsidP="00B562E7"/>
    <w:p w14:paraId="01B7A3FF" w14:textId="77777777" w:rsidR="00664BC6" w:rsidRDefault="00664BC6" w:rsidP="00B562E7"/>
    <w:p w14:paraId="74C27904" w14:textId="77777777" w:rsidR="00664BC6" w:rsidRPr="00DD1045" w:rsidRDefault="00664BC6" w:rsidP="00B562E7"/>
    <w:p w14:paraId="18EB4F55" w14:textId="36EB1ACE" w:rsidR="006623FB" w:rsidRPr="00DD1045" w:rsidRDefault="006623FB" w:rsidP="0040149F">
      <w:pPr>
        <w:pStyle w:val="ARHeading1"/>
      </w:pPr>
      <w:bookmarkStart w:id="22" w:name="_Toc172009634"/>
      <w:r w:rsidRPr="00DD1045">
        <w:lastRenderedPageBreak/>
        <w:t>Premium rate</w:t>
      </w:r>
      <w:bookmarkEnd w:id="22"/>
    </w:p>
    <w:p w14:paraId="44874AB8" w14:textId="5EB9B3A8" w:rsidR="00B93CC3" w:rsidRDefault="00B93CC3" w:rsidP="00B93CC3">
      <w:pPr>
        <w:rPr>
          <w:rStyle w:val="eop"/>
          <w:rFonts w:cs="Segoe UI"/>
        </w:rPr>
      </w:pPr>
      <w:r w:rsidRPr="00DD1045">
        <w:rPr>
          <w:rStyle w:val="normaltextrun"/>
          <w:rFonts w:cs="Segoe UI"/>
        </w:rPr>
        <w:t>In 2024</w:t>
      </w:r>
      <w:r w:rsidR="00AD1923">
        <w:t>–</w:t>
      </w:r>
      <w:r w:rsidRPr="00DD1045">
        <w:rPr>
          <w:rStyle w:val="normaltextrun"/>
          <w:rFonts w:cs="Segoe UI"/>
        </w:rPr>
        <w:t xml:space="preserve">2025, WorkCover’s average premium rate will move to </w:t>
      </w:r>
      <w:r w:rsidR="00324325">
        <w:rPr>
          <w:rStyle w:val="normaltextrun"/>
          <w:rFonts w:cs="Segoe UI"/>
        </w:rPr>
        <w:t xml:space="preserve">1.34 </w:t>
      </w:r>
      <w:r w:rsidR="006E2364">
        <w:rPr>
          <w:rStyle w:val="normaltextrun"/>
          <w:rFonts w:cs="Segoe UI"/>
        </w:rPr>
        <w:t>p</w:t>
      </w:r>
      <w:r w:rsidRPr="006E2364">
        <w:rPr>
          <w:rStyle w:val="normaltextrun"/>
          <w:rFonts w:cs="Segoe UI"/>
        </w:rPr>
        <w:t>er</w:t>
      </w:r>
      <w:r w:rsidRPr="00DD1045">
        <w:rPr>
          <w:rStyle w:val="normaltextrun"/>
          <w:rFonts w:cs="Segoe UI"/>
        </w:rPr>
        <w:t xml:space="preserve"> $100 of wages after discounts, from </w:t>
      </w:r>
      <w:r w:rsidRPr="00324325">
        <w:rPr>
          <w:rStyle w:val="normaltextrun"/>
          <w:rFonts w:cs="Segoe UI"/>
        </w:rPr>
        <w:t>$1.29</w:t>
      </w:r>
      <w:r w:rsidRPr="00DD1045">
        <w:rPr>
          <w:rStyle w:val="normaltextrun"/>
          <w:rFonts w:cs="Segoe UI"/>
        </w:rPr>
        <w:t xml:space="preserve"> in 2023</w:t>
      </w:r>
      <w:r w:rsidR="00C416C6">
        <w:t>–</w:t>
      </w:r>
      <w:r w:rsidRPr="00DD1045">
        <w:rPr>
          <w:rStyle w:val="normaltextrun"/>
          <w:rFonts w:cs="Segoe UI"/>
        </w:rPr>
        <w:t>2024. We are committed to doing all we can to minimise premium increases as we remain mindful of current cost-of-living pressures experienced by Queenslanders.</w:t>
      </w:r>
      <w:r w:rsidRPr="00DD1045">
        <w:rPr>
          <w:rStyle w:val="eop"/>
          <w:rFonts w:cs="Segoe UI"/>
        </w:rPr>
        <w:t> </w:t>
      </w:r>
    </w:p>
    <w:p w14:paraId="7C2B4CCB" w14:textId="77777777" w:rsidR="008F781C" w:rsidRDefault="00B93CC3" w:rsidP="00AA16FB">
      <w:pPr>
        <w:rPr>
          <w:rStyle w:val="normaltextrun"/>
          <w:rFonts w:cs="Segoe UI"/>
        </w:rPr>
      </w:pPr>
      <w:r w:rsidRPr="00DD1045">
        <w:rPr>
          <w:rStyle w:val="normaltextrun"/>
          <w:rFonts w:cs="Segoe UI"/>
        </w:rPr>
        <w:t xml:space="preserve">Small, incremental increases to WorkCover’s average premium rate are the best way to protect the scheme’s viability into the future, while mitigating the financial impact on our customers. </w:t>
      </w:r>
    </w:p>
    <w:p w14:paraId="3F4AF3BA" w14:textId="77777777" w:rsidR="00223923" w:rsidRDefault="00B93CC3" w:rsidP="00AA16FB">
      <w:pPr>
        <w:rPr>
          <w:rStyle w:val="normaltextrun"/>
          <w:rFonts w:cs="Segoe UI"/>
        </w:rPr>
      </w:pPr>
      <w:r w:rsidRPr="00DD1045">
        <w:rPr>
          <w:rStyle w:val="normaltextrun"/>
          <w:rFonts w:cs="Segoe UI"/>
        </w:rPr>
        <w:t xml:space="preserve">We are also ensuring all Queensland businesses are paying their fair share through our compliance program. </w:t>
      </w:r>
    </w:p>
    <w:p w14:paraId="458CB4AE" w14:textId="2A0EC897" w:rsidR="00B93CC3" w:rsidRPr="00DD1045" w:rsidRDefault="00B93CC3" w:rsidP="00AA16FB">
      <w:pPr>
        <w:rPr>
          <w:rFonts w:ascii="Segoe UI" w:hAnsi="Segoe UI"/>
          <w:sz w:val="16"/>
          <w:szCs w:val="16"/>
        </w:rPr>
      </w:pPr>
      <w:r w:rsidRPr="00DD1045">
        <w:rPr>
          <w:rStyle w:val="normaltextrun"/>
          <w:rFonts w:cs="Segoe UI"/>
        </w:rPr>
        <w:t>In 2023</w:t>
      </w:r>
      <w:r w:rsidR="00C416C6">
        <w:t>–</w:t>
      </w:r>
      <w:r w:rsidRPr="00DD1045">
        <w:rPr>
          <w:rStyle w:val="normaltextrun"/>
          <w:rFonts w:cs="Segoe UI"/>
        </w:rPr>
        <w:t>2024, we audited</w:t>
      </w:r>
      <w:r w:rsidR="006C390C">
        <w:rPr>
          <w:rStyle w:val="normaltextrun"/>
          <w:rFonts w:cs="Segoe UI"/>
        </w:rPr>
        <w:t xml:space="preserve"> 539</w:t>
      </w:r>
      <w:r w:rsidRPr="00DD1045">
        <w:rPr>
          <w:rStyle w:val="normaltextrun"/>
          <w:rFonts w:cs="Segoe UI"/>
        </w:rPr>
        <w:t xml:space="preserve"> </w:t>
      </w:r>
      <w:r w:rsidR="00EB03A1" w:rsidRPr="00324325">
        <w:rPr>
          <w:lang w:eastAsia="en-AU"/>
        </w:rPr>
        <w:t>employer sites</w:t>
      </w:r>
      <w:r w:rsidRPr="00324325">
        <w:rPr>
          <w:rStyle w:val="normaltextrun"/>
          <w:rFonts w:cs="Segoe UI"/>
        </w:rPr>
        <w:t>. This resulted in a total amount of</w:t>
      </w:r>
      <w:r w:rsidR="006C390C">
        <w:rPr>
          <w:rStyle w:val="normaltextrun"/>
          <w:rFonts w:cs="Segoe UI"/>
        </w:rPr>
        <w:t xml:space="preserve"> $32M</w:t>
      </w:r>
      <w:r w:rsidRPr="00324325">
        <w:rPr>
          <w:rStyle w:val="normaltextrun"/>
          <w:rFonts w:cs="Segoe UI"/>
        </w:rPr>
        <w:t xml:space="preserve"> </w:t>
      </w:r>
      <w:r w:rsidRPr="00DD1045">
        <w:rPr>
          <w:rStyle w:val="normaltextrun"/>
          <w:rFonts w:cs="Segoe UI"/>
        </w:rPr>
        <w:t xml:space="preserve">in premium and penalties raised. </w:t>
      </w:r>
    </w:p>
    <w:p w14:paraId="60216DDE" w14:textId="77777777" w:rsidR="00AA16FB" w:rsidRPr="00DD1045" w:rsidRDefault="00AA16FB" w:rsidP="00B562E7"/>
    <w:p w14:paraId="4CDAFD02" w14:textId="69A09987" w:rsidR="006623FB" w:rsidRPr="00DD1045" w:rsidRDefault="006623FB" w:rsidP="0040149F">
      <w:pPr>
        <w:pStyle w:val="ARHeading1"/>
      </w:pPr>
      <w:bookmarkStart w:id="23" w:name="_Toc172009635"/>
      <w:r w:rsidRPr="00DD1045">
        <w:t>Partnering with our stakeholders</w:t>
      </w:r>
      <w:bookmarkEnd w:id="23"/>
    </w:p>
    <w:p w14:paraId="4BB140EA" w14:textId="77777777" w:rsidR="00AA16FB" w:rsidRPr="00DD1045" w:rsidRDefault="00AA16FB" w:rsidP="00AA16FB">
      <w:pPr>
        <w:rPr>
          <w:sz w:val="18"/>
          <w:szCs w:val="18"/>
        </w:rPr>
      </w:pPr>
      <w:r w:rsidRPr="00DD1045">
        <w:rPr>
          <w:rStyle w:val="normaltextrun"/>
        </w:rPr>
        <w:t>We are continuing to connect with our stakeholders across Queensland, including at our regional board meeting in Rockhampton in April 2024, where we were joined by local businesses and leaders from across the region.</w:t>
      </w:r>
      <w:r w:rsidRPr="00DD1045">
        <w:rPr>
          <w:rStyle w:val="eop"/>
        </w:rPr>
        <w:t> </w:t>
      </w:r>
    </w:p>
    <w:p w14:paraId="6A141D95" w14:textId="77BF5C65" w:rsidR="00AA16FB" w:rsidRPr="00DD1045" w:rsidRDefault="00AA16FB" w:rsidP="00AA16FB">
      <w:pPr>
        <w:rPr>
          <w:sz w:val="18"/>
          <w:szCs w:val="18"/>
        </w:rPr>
      </w:pPr>
      <w:r w:rsidRPr="00DD1045">
        <w:rPr>
          <w:rStyle w:val="normaltextrun"/>
        </w:rPr>
        <w:t>Record numbers of customers across the state are participating in our virtual events, with</w:t>
      </w:r>
      <w:r w:rsidR="00FE2B7D">
        <w:rPr>
          <w:rStyle w:val="normaltextrun"/>
        </w:rPr>
        <w:t xml:space="preserve"> thousands </w:t>
      </w:r>
      <w:r w:rsidRPr="00DD1045">
        <w:rPr>
          <w:rStyle w:val="normaltextrun"/>
        </w:rPr>
        <w:t>tuning into our regular webinar series on topics such as suitable duties and return to work, workplace bullying and harassment claims, employer liability, mental injuries, and common law.</w:t>
      </w:r>
      <w:r w:rsidRPr="00DD1045">
        <w:rPr>
          <w:rStyle w:val="eop"/>
        </w:rPr>
        <w:t> </w:t>
      </w:r>
    </w:p>
    <w:p w14:paraId="20BFCF66" w14:textId="77777777" w:rsidR="00AA16FB" w:rsidRPr="00DD1045" w:rsidRDefault="00AA16FB" w:rsidP="00AA16FB">
      <w:pPr>
        <w:rPr>
          <w:sz w:val="18"/>
          <w:szCs w:val="18"/>
        </w:rPr>
      </w:pPr>
      <w:r w:rsidRPr="00DD1045">
        <w:rPr>
          <w:rStyle w:val="normaltextrun"/>
        </w:rPr>
        <w:t>After gathering feedback and insights from medical and allied health providers, we have developed a new framework to help us work better together to improve claim outcomes for workers.</w:t>
      </w:r>
      <w:r w:rsidRPr="00DD1045">
        <w:rPr>
          <w:rStyle w:val="eop"/>
        </w:rPr>
        <w:t> </w:t>
      </w:r>
    </w:p>
    <w:p w14:paraId="5B43C6A8" w14:textId="35785FB2" w:rsidR="00AA16FB" w:rsidRDefault="00AA16FB" w:rsidP="00AA16FB">
      <w:pPr>
        <w:rPr>
          <w:rStyle w:val="eop"/>
        </w:rPr>
      </w:pPr>
      <w:r w:rsidRPr="00DD1045">
        <w:rPr>
          <w:rStyle w:val="normaltextrun"/>
        </w:rPr>
        <w:t>In partnership with Workplace Health and Safety Queensland, we launched a refreshed Injury Prevention and Management program with</w:t>
      </w:r>
      <w:r w:rsidR="006C390C">
        <w:rPr>
          <w:rStyle w:val="normaltextrun"/>
        </w:rPr>
        <w:t xml:space="preserve"> 120</w:t>
      </w:r>
      <w:r w:rsidR="0010294D" w:rsidRPr="00DD1045">
        <w:rPr>
          <w:rStyle w:val="normaltextrun"/>
        </w:rPr>
        <w:t xml:space="preserve"> </w:t>
      </w:r>
      <w:r w:rsidRPr="00DD1045">
        <w:rPr>
          <w:rStyle w:val="normaltextrun"/>
        </w:rPr>
        <w:t>employers registering to benefit from tailored guidance to improve safety and injury management in their workplaces.</w:t>
      </w:r>
      <w:r w:rsidRPr="00DD1045">
        <w:rPr>
          <w:rStyle w:val="eop"/>
        </w:rPr>
        <w:t> </w:t>
      </w:r>
    </w:p>
    <w:p w14:paraId="0765E733" w14:textId="0E66F6F9" w:rsidR="006623FB" w:rsidRPr="00DD1045" w:rsidRDefault="006623FB" w:rsidP="0040149F">
      <w:pPr>
        <w:pStyle w:val="ARHeading1"/>
      </w:pPr>
      <w:bookmarkStart w:id="24" w:name="_Toc172009636"/>
      <w:r w:rsidRPr="00DD1045">
        <w:t>Continuing to meet our customers’ digital needs</w:t>
      </w:r>
      <w:bookmarkEnd w:id="24"/>
    </w:p>
    <w:p w14:paraId="15FC15D8" w14:textId="2C03DC6B" w:rsidR="002841D4" w:rsidRPr="00DD1045" w:rsidRDefault="002841D4" w:rsidP="002841D4">
      <w:pPr>
        <w:rPr>
          <w:rFonts w:ascii="Segoe UI" w:hAnsi="Segoe UI"/>
          <w:sz w:val="16"/>
          <w:szCs w:val="16"/>
        </w:rPr>
      </w:pPr>
      <w:r w:rsidRPr="00DD1045">
        <w:rPr>
          <w:rStyle w:val="normaltextrun"/>
          <w:rFonts w:cs="Segoe UI"/>
        </w:rPr>
        <w:t xml:space="preserve">We have continued our multi-year digital transformation journey, prioritising </w:t>
      </w:r>
      <w:r w:rsidR="00C37C4A">
        <w:rPr>
          <w:rStyle w:val="normaltextrun"/>
          <w:rFonts w:cs="Segoe UI"/>
        </w:rPr>
        <w:t>our</w:t>
      </w:r>
      <w:r w:rsidRPr="00DD1045">
        <w:rPr>
          <w:rStyle w:val="normaltextrun"/>
          <w:rFonts w:cs="Segoe UI"/>
        </w:rPr>
        <w:t xml:space="preserve"> transition to the cloud to future proof our business and deliver secure, flexible and more responsive experiences in line with our customers’ changing digital needs and expectations.</w:t>
      </w:r>
      <w:r w:rsidRPr="00DD1045">
        <w:rPr>
          <w:rStyle w:val="eop"/>
          <w:rFonts w:cs="Segoe UI"/>
        </w:rPr>
        <w:t> </w:t>
      </w:r>
    </w:p>
    <w:p w14:paraId="02DEB040" w14:textId="659672BB" w:rsidR="002841D4" w:rsidRPr="00DD1045" w:rsidRDefault="002841D4" w:rsidP="002841D4">
      <w:pPr>
        <w:rPr>
          <w:rFonts w:ascii="Segoe UI" w:hAnsi="Segoe UI"/>
          <w:sz w:val="16"/>
          <w:szCs w:val="16"/>
        </w:rPr>
      </w:pPr>
      <w:r w:rsidRPr="00DD1045">
        <w:rPr>
          <w:rStyle w:val="normaltextrun"/>
          <w:rFonts w:cs="Segoe UI"/>
        </w:rPr>
        <w:t xml:space="preserve">Our dedication to cyber security and protecting our customers’ </w:t>
      </w:r>
      <w:r w:rsidR="00847252">
        <w:rPr>
          <w:rStyle w:val="normaltextrun"/>
          <w:rFonts w:cs="Segoe UI"/>
        </w:rPr>
        <w:t>information</w:t>
      </w:r>
      <w:r w:rsidRPr="00DD1045">
        <w:rPr>
          <w:rStyle w:val="normaltextrun"/>
          <w:rFonts w:cs="Segoe UI"/>
        </w:rPr>
        <w:t xml:space="preserve"> has been maintained through our Cyber Program, which educates our people on cyber safety and leverages leading technology to protect the information entrusted to us. </w:t>
      </w:r>
    </w:p>
    <w:p w14:paraId="4DF237F2" w14:textId="77777777" w:rsidR="002841D4" w:rsidRPr="00DD1045" w:rsidRDefault="002841D4" w:rsidP="00B562E7"/>
    <w:p w14:paraId="47C3E2A8" w14:textId="39FC9C62" w:rsidR="006623FB" w:rsidRPr="00DD1045" w:rsidRDefault="00AB6E7C" w:rsidP="0040149F">
      <w:pPr>
        <w:pStyle w:val="ARHeading1"/>
      </w:pPr>
      <w:bookmarkStart w:id="25" w:name="_Toc172009637"/>
      <w:r w:rsidRPr="00DD1045">
        <w:t>Outlook for 2024</w:t>
      </w:r>
      <w:r w:rsidR="00AD1923">
        <w:t>–</w:t>
      </w:r>
      <w:r w:rsidRPr="00DD1045">
        <w:t>2025</w:t>
      </w:r>
      <w:bookmarkEnd w:id="25"/>
    </w:p>
    <w:p w14:paraId="4F4FC7D3" w14:textId="7A3941EC" w:rsidR="002841D4" w:rsidRPr="00DD1045" w:rsidRDefault="002841D4" w:rsidP="002841D4">
      <w:pPr>
        <w:rPr>
          <w:rStyle w:val="normaltextrun"/>
          <w:rFonts w:cs="Segoe UI"/>
        </w:rPr>
      </w:pPr>
      <w:r w:rsidRPr="00DD1045">
        <w:rPr>
          <w:rStyle w:val="normaltextrun"/>
          <w:rFonts w:cs="Segoe UI"/>
        </w:rPr>
        <w:t xml:space="preserve">We welcome the recommendations of the five-year workers’ compensation scheme review, which highlighted </w:t>
      </w:r>
      <w:r w:rsidR="00F56E4F" w:rsidRPr="00F56E4F">
        <w:rPr>
          <w:rStyle w:val="normaltextrun"/>
          <w:rFonts w:cs="Segoe UI"/>
        </w:rPr>
        <w:t>that while the scheme is performing well, there are ways it can be improved to better help Queensland workers and businesses get the support they need if someone is injured as a result of their work</w:t>
      </w:r>
      <w:r w:rsidRPr="00DD1045">
        <w:rPr>
          <w:rStyle w:val="normaltextrun"/>
          <w:rFonts w:cs="Segoe UI"/>
        </w:rPr>
        <w:t>. We are preparing to implement recommendations as they are progressed by the Queensland Government.</w:t>
      </w:r>
      <w:r w:rsidRPr="00DD1045">
        <w:rPr>
          <w:rStyle w:val="normaltextrun"/>
        </w:rPr>
        <w:t> </w:t>
      </w:r>
    </w:p>
    <w:p w14:paraId="42B1CB82" w14:textId="301A1ADB" w:rsidR="002841D4" w:rsidRPr="00DD1045" w:rsidRDefault="002841D4" w:rsidP="002841D4">
      <w:pPr>
        <w:rPr>
          <w:rStyle w:val="normaltextrun"/>
          <w:rFonts w:cs="Segoe UI"/>
        </w:rPr>
      </w:pPr>
      <w:r w:rsidRPr="00DD1045">
        <w:rPr>
          <w:rStyle w:val="normaltextrun"/>
          <w:rFonts w:cs="Segoe UI"/>
        </w:rPr>
        <w:t>Claims management is our core business and we are focused on achieving operational excellence in this fundamental work through making timely claim decisions and supporting workers to recover and return to work as safely and soon as possible. We are dedicated to responsive and consistent service to all of our customers.</w:t>
      </w:r>
      <w:r w:rsidRPr="00DD1045">
        <w:rPr>
          <w:rStyle w:val="normaltextrun"/>
        </w:rPr>
        <w:t> </w:t>
      </w:r>
    </w:p>
    <w:p w14:paraId="0819CBF6" w14:textId="627075EB" w:rsidR="002841D4" w:rsidRPr="00DD1045" w:rsidRDefault="002841D4" w:rsidP="002841D4">
      <w:pPr>
        <w:rPr>
          <w:rStyle w:val="normaltextrun"/>
          <w:rFonts w:cs="Segoe UI"/>
        </w:rPr>
      </w:pPr>
      <w:r w:rsidRPr="00DD1045">
        <w:rPr>
          <w:rStyle w:val="normaltextrun"/>
          <w:rFonts w:cs="Segoe UI"/>
        </w:rPr>
        <w:t>We will continue to progress our mental injuries program</w:t>
      </w:r>
      <w:r w:rsidR="00490D91">
        <w:rPr>
          <w:rStyle w:val="normaltextrun"/>
          <w:rFonts w:cs="Segoe UI"/>
        </w:rPr>
        <w:t xml:space="preserve"> which </w:t>
      </w:r>
      <w:r w:rsidR="67D13F9B" w:rsidRPr="6E3D439F">
        <w:rPr>
          <w:rStyle w:val="normaltextrun"/>
          <w:rFonts w:cs="Segoe UI"/>
        </w:rPr>
        <w:t>further</w:t>
      </w:r>
      <w:r w:rsidR="00490D91" w:rsidRPr="6E3D439F">
        <w:rPr>
          <w:rStyle w:val="normaltextrun"/>
          <w:rFonts w:cs="Segoe UI"/>
        </w:rPr>
        <w:t xml:space="preserve"> </w:t>
      </w:r>
      <w:r w:rsidR="26669D5E" w:rsidRPr="6E3D439F">
        <w:rPr>
          <w:rStyle w:val="normaltextrun"/>
          <w:rFonts w:cs="Segoe UI"/>
        </w:rPr>
        <w:t xml:space="preserve">aligns management of claims management of mental injuries </w:t>
      </w:r>
      <w:r w:rsidR="0DF59E11" w:rsidRPr="6E3D439F">
        <w:rPr>
          <w:rStyle w:val="normaltextrun"/>
          <w:rFonts w:cs="Segoe UI"/>
        </w:rPr>
        <w:t xml:space="preserve">with best practice, </w:t>
      </w:r>
      <w:r w:rsidR="00164B93" w:rsidRPr="6E3D439F">
        <w:rPr>
          <w:rStyle w:val="normaltextrun"/>
          <w:rFonts w:cs="Segoe UI"/>
        </w:rPr>
        <w:t>fosters</w:t>
      </w:r>
      <w:r w:rsidR="00164B93">
        <w:rPr>
          <w:rStyle w:val="normaltextrun"/>
          <w:rFonts w:cs="Segoe UI"/>
        </w:rPr>
        <w:t xml:space="preserve"> better</w:t>
      </w:r>
      <w:r w:rsidR="00490D91">
        <w:rPr>
          <w:rStyle w:val="normaltextrun"/>
          <w:rFonts w:cs="Segoe UI"/>
        </w:rPr>
        <w:t xml:space="preserve"> employer</w:t>
      </w:r>
      <w:r w:rsidR="00164B93">
        <w:rPr>
          <w:rStyle w:val="normaltextrun"/>
          <w:rFonts w:cs="Segoe UI"/>
        </w:rPr>
        <w:t xml:space="preserve"> engagement</w:t>
      </w:r>
      <w:r w:rsidR="00490D91">
        <w:rPr>
          <w:rStyle w:val="normaltextrun"/>
          <w:rFonts w:cs="Segoe UI"/>
        </w:rPr>
        <w:t xml:space="preserve"> in the return to work pro</w:t>
      </w:r>
      <w:r w:rsidR="003B5FF4">
        <w:rPr>
          <w:rStyle w:val="normaltextrun"/>
          <w:rFonts w:cs="Segoe UI"/>
        </w:rPr>
        <w:t xml:space="preserve">cess, and </w:t>
      </w:r>
      <w:r w:rsidR="00C85CAF">
        <w:rPr>
          <w:rStyle w:val="normaltextrun"/>
          <w:rFonts w:cs="Segoe UI"/>
        </w:rPr>
        <w:t xml:space="preserve">includes new resources </w:t>
      </w:r>
      <w:r w:rsidR="003B5FF4">
        <w:rPr>
          <w:rStyle w:val="normaltextrun"/>
          <w:rFonts w:cs="Segoe UI"/>
        </w:rPr>
        <w:t>to</w:t>
      </w:r>
      <w:r w:rsidRPr="00DD1045">
        <w:rPr>
          <w:rStyle w:val="normaltextrun"/>
          <w:rFonts w:cs="Segoe UI"/>
        </w:rPr>
        <w:t xml:space="preserve"> better support workers with mental injuries </w:t>
      </w:r>
      <w:r w:rsidR="00C85CAF">
        <w:rPr>
          <w:rStyle w:val="normaltextrun"/>
          <w:rFonts w:cs="Segoe UI"/>
        </w:rPr>
        <w:t>through their claim journey</w:t>
      </w:r>
      <w:r w:rsidRPr="00DD1045">
        <w:rPr>
          <w:rStyle w:val="normaltextrun"/>
          <w:rFonts w:cs="Segoe UI"/>
        </w:rPr>
        <w:t>.</w:t>
      </w:r>
      <w:r w:rsidRPr="00DD1045">
        <w:rPr>
          <w:rStyle w:val="normaltextrun"/>
        </w:rPr>
        <w:t> </w:t>
      </w:r>
    </w:p>
    <w:p w14:paraId="2B1CD804" w14:textId="77777777" w:rsidR="002841D4" w:rsidRPr="00DD1045" w:rsidRDefault="002841D4" w:rsidP="00B562E7">
      <w:pPr>
        <w:rPr>
          <w:rFonts w:cs="Segoe UI"/>
        </w:rPr>
      </w:pPr>
    </w:p>
    <w:p w14:paraId="1F65FCB6" w14:textId="6BEE7273" w:rsidR="00AB6E7C" w:rsidRPr="00DD1045" w:rsidRDefault="00AB6E7C" w:rsidP="0040149F">
      <w:pPr>
        <w:pStyle w:val="ARHeading1"/>
      </w:pPr>
      <w:bookmarkStart w:id="26" w:name="_Toc172009638"/>
      <w:r w:rsidRPr="00DD1045">
        <w:t>Thanks and acknowledgements</w:t>
      </w:r>
      <w:bookmarkEnd w:id="26"/>
    </w:p>
    <w:p w14:paraId="7A86258B" w14:textId="6CC5F423" w:rsidR="00040AFD" w:rsidRDefault="00040AFD" w:rsidP="00040AFD">
      <w:pPr>
        <w:rPr>
          <w:rStyle w:val="eop"/>
          <w:rFonts w:cs="Segoe UI"/>
        </w:rPr>
      </w:pPr>
      <w:r w:rsidRPr="00DD1045">
        <w:rPr>
          <w:rStyle w:val="normaltextrun"/>
          <w:rFonts w:cs="Segoe UI"/>
        </w:rPr>
        <w:t xml:space="preserve">We express our thanks and appreciation to Bruce Watson, who retired after seven years as Chief </w:t>
      </w:r>
      <w:r w:rsidRPr="00DD1045">
        <w:rPr>
          <w:rStyle w:val="normaltextrun"/>
          <w:rFonts w:cs="Segoe UI"/>
        </w:rPr>
        <w:lastRenderedPageBreak/>
        <w:t>Executive Officer on 16 February 2024. Bruce led WorkCover through some significant periods, including the re-emergence of black lung disease, the nation-leading screening of all Queensland engineered stone benchtop workers for silicosis, and the COVID-19 pandemic. We thank Bruce for his leadership and service.</w:t>
      </w:r>
      <w:r w:rsidRPr="00DD1045">
        <w:rPr>
          <w:rStyle w:val="eop"/>
          <w:rFonts w:cs="Segoe UI"/>
        </w:rPr>
        <w:t> </w:t>
      </w:r>
    </w:p>
    <w:p w14:paraId="075B42DB" w14:textId="79BEC867" w:rsidR="00040AFD" w:rsidRPr="00DD1045" w:rsidRDefault="0010294D" w:rsidP="00040AFD">
      <w:pPr>
        <w:rPr>
          <w:rFonts w:ascii="Segoe UI" w:hAnsi="Segoe UI"/>
          <w:sz w:val="16"/>
          <w:szCs w:val="16"/>
        </w:rPr>
      </w:pPr>
      <w:r>
        <w:rPr>
          <w:rStyle w:val="eop"/>
          <w:rFonts w:cs="Segoe UI"/>
        </w:rPr>
        <w:t xml:space="preserve">Our new Chief Executive Officer, Michael Pennisi, started on 18 June 2024. Michael is an </w:t>
      </w:r>
      <w:r w:rsidR="00403230" w:rsidRPr="0010294D">
        <w:t>experienced chief executive with more than 30 years of experience in superannuation, insurance and investments. He has a strong track record of authentic, values-based and purpose led leadership</w:t>
      </w:r>
      <w:r w:rsidR="00C914A5" w:rsidRPr="0010294D">
        <w:t>, and brings a strong commitment to serving the needs of customers and the community. His deep knowledge of insurance and his strong relationships with stakeholders will be invaluable as WorkCover builds on a proud history as one of Australia’s strongest performing workers’ compensation insurers.</w:t>
      </w:r>
    </w:p>
    <w:p w14:paraId="53207AB0" w14:textId="6FC8F4EE" w:rsidR="00040AFD" w:rsidRPr="00DD1045" w:rsidRDefault="00040AFD" w:rsidP="00040AFD">
      <w:pPr>
        <w:rPr>
          <w:rFonts w:ascii="Segoe UI" w:hAnsi="Segoe UI"/>
          <w:sz w:val="16"/>
          <w:szCs w:val="16"/>
        </w:rPr>
      </w:pPr>
      <w:r w:rsidRPr="00DD1045">
        <w:rPr>
          <w:rStyle w:val="normaltextrun"/>
          <w:rFonts w:cs="Segoe UI"/>
        </w:rPr>
        <w:t>We wish to acknowledge the work of our board in 2023</w:t>
      </w:r>
      <w:r w:rsidR="00C416C6">
        <w:t>–</w:t>
      </w:r>
      <w:r w:rsidRPr="00DD1045">
        <w:rPr>
          <w:rStyle w:val="normaltextrun"/>
          <w:rFonts w:cs="Segoe UI"/>
        </w:rPr>
        <w:t>2024, including our new board members this year, Dr Anthony Lynham (Chair), Jacqueline King (Deputy Chair) and Stephen Havas (Director). </w:t>
      </w:r>
    </w:p>
    <w:p w14:paraId="200F9572" w14:textId="77777777" w:rsidR="00040AFD" w:rsidRPr="00DD1045" w:rsidRDefault="00040AFD" w:rsidP="00040AFD">
      <w:pPr>
        <w:rPr>
          <w:rFonts w:ascii="Segoe UI" w:hAnsi="Segoe UI"/>
          <w:sz w:val="16"/>
          <w:szCs w:val="16"/>
        </w:rPr>
      </w:pPr>
      <w:r w:rsidRPr="00DD1045">
        <w:rPr>
          <w:rStyle w:val="normaltextrun"/>
          <w:rFonts w:cs="Segoe UI"/>
        </w:rPr>
        <w:t>We also wish to thank our executive management team, and our people at WorkCover who have assisted Queensland workers and employers over the past year.</w:t>
      </w:r>
      <w:r w:rsidRPr="00DD1045">
        <w:rPr>
          <w:rStyle w:val="eop"/>
          <w:rFonts w:cs="Segoe UI"/>
        </w:rPr>
        <w:t> </w:t>
      </w:r>
    </w:p>
    <w:p w14:paraId="02FD7103" w14:textId="2C43C55F" w:rsidR="00BD7D37" w:rsidRDefault="00040AFD">
      <w:pPr>
        <w:rPr>
          <w:rStyle w:val="eop"/>
          <w:rFonts w:cs="Segoe UI"/>
        </w:rPr>
      </w:pPr>
      <w:r w:rsidRPr="00DD1045">
        <w:rPr>
          <w:rStyle w:val="normaltextrun"/>
          <w:rFonts w:cs="Segoe UI"/>
        </w:rPr>
        <w:t xml:space="preserve">We thank the </w:t>
      </w:r>
      <w:r w:rsidRPr="00C20E5A">
        <w:rPr>
          <w:rStyle w:val="normaltextrun"/>
          <w:rFonts w:cs="Segoe UI"/>
        </w:rPr>
        <w:t>Minister for Industrial Relations,</w:t>
      </w:r>
      <w:r w:rsidRPr="00DD1045">
        <w:rPr>
          <w:rStyle w:val="normaltextrun"/>
          <w:rFonts w:cs="Segoe UI"/>
        </w:rPr>
        <w:t xml:space="preserve"> the Honourable Grace Grace MP, and the Queensland Government for their support.</w:t>
      </w:r>
      <w:r w:rsidRPr="00DD1045">
        <w:rPr>
          <w:rStyle w:val="eop"/>
          <w:rFonts w:cs="Segoe UI"/>
        </w:rPr>
        <w:t> </w:t>
      </w:r>
    </w:p>
    <w:p w14:paraId="5DF49D1C" w14:textId="77777777" w:rsidR="00BD7D37" w:rsidRDefault="00BD7D37">
      <w:pPr>
        <w:rPr>
          <w:rStyle w:val="eop"/>
          <w:rFonts w:cs="Segoe UI"/>
        </w:rPr>
      </w:pPr>
    </w:p>
    <w:tbl>
      <w:tblPr>
        <w:tblStyle w:val="TableGrid"/>
        <w:tblW w:w="4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1891"/>
      </w:tblGrid>
      <w:tr w:rsidR="00BD7D37" w14:paraId="6130AE47" w14:textId="77777777" w:rsidTr="000A6559">
        <w:trPr>
          <w:trHeight w:val="1307"/>
        </w:trPr>
        <w:tc>
          <w:tcPr>
            <w:tcW w:w="2532" w:type="dxa"/>
          </w:tcPr>
          <w:p w14:paraId="06E8C993" w14:textId="4953EF3F" w:rsidR="00BD7D37" w:rsidRPr="00670A68" w:rsidRDefault="00BD7D37">
            <w:pPr>
              <w:rPr>
                <w:rStyle w:val="eop"/>
                <w:rFonts w:cs="Segoe UI"/>
                <w:highlight w:val="yellow"/>
              </w:rPr>
            </w:pPr>
          </w:p>
        </w:tc>
        <w:tc>
          <w:tcPr>
            <w:tcW w:w="1891" w:type="dxa"/>
          </w:tcPr>
          <w:p w14:paraId="2B89D157" w14:textId="4341AB43" w:rsidR="00BD7D37" w:rsidRPr="00670A68" w:rsidRDefault="00BD7D37">
            <w:pPr>
              <w:rPr>
                <w:rStyle w:val="eop"/>
                <w:rFonts w:cs="Segoe UI"/>
                <w:highlight w:val="yellow"/>
              </w:rPr>
            </w:pPr>
          </w:p>
        </w:tc>
      </w:tr>
      <w:tr w:rsidR="00A554BF" w14:paraId="1BDD8820" w14:textId="77777777" w:rsidTr="000A6559">
        <w:trPr>
          <w:trHeight w:val="1033"/>
        </w:trPr>
        <w:tc>
          <w:tcPr>
            <w:tcW w:w="2532" w:type="dxa"/>
          </w:tcPr>
          <w:p w14:paraId="41FB4585" w14:textId="6F615E56" w:rsidR="00A554BF" w:rsidRPr="00670A68" w:rsidRDefault="00A554BF" w:rsidP="00A554BF">
            <w:pPr>
              <w:rPr>
                <w:rStyle w:val="eop"/>
                <w:rFonts w:cs="Segoe UI"/>
                <w:highlight w:val="yellow"/>
              </w:rPr>
            </w:pPr>
            <w:r w:rsidRPr="00AB705B">
              <w:rPr>
                <w:rStyle w:val="eop"/>
                <w:rFonts w:ascii="Source Sans Pro SemiBold" w:hAnsi="Source Sans Pro SemiBold" w:cs="Segoe UI"/>
              </w:rPr>
              <w:t>Dr Anthony Lynham</w:t>
            </w:r>
            <w:r>
              <w:rPr>
                <w:rStyle w:val="eop"/>
                <w:rFonts w:cs="Segoe UI"/>
                <w:b/>
                <w:bCs/>
              </w:rPr>
              <w:br/>
            </w:r>
            <w:r w:rsidRPr="00F93A9A">
              <w:rPr>
                <w:rStyle w:val="eop"/>
                <w:rFonts w:cs="Segoe UI"/>
                <w:sz w:val="18"/>
                <w:szCs w:val="18"/>
              </w:rPr>
              <w:t>Chair</w:t>
            </w:r>
            <w:r w:rsidRPr="00F93A9A">
              <w:rPr>
                <w:rStyle w:val="eop"/>
                <w:rFonts w:cs="Segoe UI"/>
                <w:sz w:val="18"/>
                <w:szCs w:val="18"/>
              </w:rPr>
              <w:br/>
              <w:t>WorkCover Queensland</w:t>
            </w:r>
          </w:p>
        </w:tc>
        <w:tc>
          <w:tcPr>
            <w:tcW w:w="1891" w:type="dxa"/>
          </w:tcPr>
          <w:p w14:paraId="5FA6C4EC" w14:textId="056D0973" w:rsidR="00A554BF" w:rsidRPr="00670A68" w:rsidRDefault="00A554BF" w:rsidP="00A554BF">
            <w:pPr>
              <w:rPr>
                <w:rStyle w:val="eop"/>
                <w:rFonts w:cs="Segoe UI"/>
                <w:highlight w:val="yellow"/>
              </w:rPr>
            </w:pPr>
            <w:r w:rsidRPr="00AB705B">
              <w:rPr>
                <w:rStyle w:val="eop"/>
                <w:rFonts w:ascii="Source Sans Pro SemiBold" w:hAnsi="Source Sans Pro SemiBold" w:cs="Segoe UI"/>
              </w:rPr>
              <w:t>Michael Pennisi</w:t>
            </w:r>
            <w:r>
              <w:rPr>
                <w:rStyle w:val="eop"/>
                <w:rFonts w:cs="Segoe UI"/>
                <w:b/>
                <w:bCs/>
              </w:rPr>
              <w:br/>
            </w:r>
            <w:r w:rsidRPr="00F93A9A">
              <w:rPr>
                <w:rStyle w:val="eop"/>
                <w:rFonts w:cs="Segoe UI"/>
                <w:sz w:val="18"/>
                <w:szCs w:val="18"/>
              </w:rPr>
              <w:t>Chief Executive Officer</w:t>
            </w:r>
            <w:r w:rsidRPr="00F93A9A">
              <w:rPr>
                <w:rStyle w:val="eop"/>
                <w:rFonts w:cs="Segoe UI"/>
                <w:sz w:val="18"/>
                <w:szCs w:val="18"/>
              </w:rPr>
              <w:br/>
              <w:t>WorkCover Queensland</w:t>
            </w:r>
          </w:p>
        </w:tc>
      </w:tr>
    </w:tbl>
    <w:p w14:paraId="723BE9AA" w14:textId="77777777" w:rsidR="00BD7D37" w:rsidRDefault="00BD7D37">
      <w:pPr>
        <w:rPr>
          <w:rStyle w:val="eop"/>
          <w:rFonts w:cs="Segoe UI"/>
        </w:rPr>
      </w:pPr>
    </w:p>
    <w:p w14:paraId="1FCBD5DE" w14:textId="77777777" w:rsidR="004C688F" w:rsidRDefault="004C688F">
      <w:pPr>
        <w:rPr>
          <w:rStyle w:val="eop"/>
          <w:rFonts w:cs="Segoe UI"/>
        </w:rPr>
      </w:pPr>
    </w:p>
    <w:p w14:paraId="57BA2801" w14:textId="77777777" w:rsidR="004C688F" w:rsidRDefault="004C688F">
      <w:pPr>
        <w:rPr>
          <w:rStyle w:val="eop"/>
          <w:rFonts w:cs="Segoe UI"/>
        </w:rPr>
      </w:pPr>
    </w:p>
    <w:p w14:paraId="15211B4E" w14:textId="77777777" w:rsidR="00A161A9" w:rsidRDefault="00A161A9">
      <w:pPr>
        <w:rPr>
          <w:rStyle w:val="eop"/>
          <w:rFonts w:cs="Segoe UI"/>
        </w:rPr>
      </w:pPr>
    </w:p>
    <w:p w14:paraId="1952DCD6" w14:textId="77777777" w:rsidR="00F93A9A" w:rsidRDefault="00F93A9A">
      <w:pPr>
        <w:rPr>
          <w:rStyle w:val="eop"/>
          <w:rFonts w:cs="Segoe UI"/>
        </w:rPr>
      </w:pPr>
    </w:p>
    <w:p w14:paraId="3751C11C" w14:textId="77777777" w:rsidR="00223923" w:rsidRDefault="00223923">
      <w:pPr>
        <w:rPr>
          <w:rStyle w:val="eop"/>
          <w:rFonts w:cs="Segoe UI"/>
        </w:rPr>
      </w:pPr>
    </w:p>
    <w:p w14:paraId="3D74B783" w14:textId="77777777" w:rsidR="008C408F" w:rsidRDefault="008C408F">
      <w:pPr>
        <w:rPr>
          <w:rStyle w:val="eop"/>
          <w:rFonts w:cs="Segoe UI"/>
        </w:rPr>
      </w:pPr>
    </w:p>
    <w:p w14:paraId="28041C5F" w14:textId="77777777" w:rsidR="00D51518" w:rsidRDefault="00D51518">
      <w:pPr>
        <w:rPr>
          <w:rStyle w:val="eop"/>
          <w:rFonts w:cs="Segoe UI"/>
        </w:rPr>
      </w:pPr>
    </w:p>
    <w:p w14:paraId="7BF098DB" w14:textId="77777777" w:rsidR="00D51518" w:rsidRDefault="00D51518">
      <w:pPr>
        <w:rPr>
          <w:rStyle w:val="eop"/>
          <w:rFonts w:cs="Segoe UI"/>
        </w:rPr>
      </w:pPr>
    </w:p>
    <w:p w14:paraId="1FD8D3B5" w14:textId="77777777" w:rsidR="00D51518" w:rsidRDefault="00D51518">
      <w:pPr>
        <w:rPr>
          <w:rStyle w:val="eop"/>
          <w:rFonts w:cs="Segoe UI"/>
        </w:rPr>
      </w:pPr>
    </w:p>
    <w:p w14:paraId="1F793A36" w14:textId="77777777" w:rsidR="00D51518" w:rsidRDefault="00D51518">
      <w:pPr>
        <w:rPr>
          <w:rStyle w:val="eop"/>
          <w:rFonts w:cs="Segoe UI"/>
        </w:rPr>
      </w:pPr>
    </w:p>
    <w:p w14:paraId="39AAEC18" w14:textId="77777777" w:rsidR="00D51518" w:rsidRDefault="00D51518">
      <w:pPr>
        <w:rPr>
          <w:rStyle w:val="eop"/>
          <w:rFonts w:cs="Segoe UI"/>
        </w:rPr>
      </w:pPr>
    </w:p>
    <w:p w14:paraId="21E3F6A6" w14:textId="77777777" w:rsidR="00D51518" w:rsidRDefault="00D51518">
      <w:pPr>
        <w:rPr>
          <w:rStyle w:val="eop"/>
          <w:rFonts w:cs="Segoe UI"/>
        </w:rPr>
      </w:pPr>
    </w:p>
    <w:p w14:paraId="5A322B33" w14:textId="77777777" w:rsidR="008C408F" w:rsidRDefault="008C408F">
      <w:pPr>
        <w:rPr>
          <w:rStyle w:val="eop"/>
          <w:rFonts w:cs="Segoe UI"/>
        </w:rPr>
      </w:pPr>
    </w:p>
    <w:p w14:paraId="4DD3211B" w14:textId="77777777" w:rsidR="008C408F" w:rsidRDefault="008C408F">
      <w:pPr>
        <w:rPr>
          <w:rStyle w:val="eop"/>
          <w:rFonts w:cs="Segoe UI"/>
        </w:rPr>
      </w:pPr>
    </w:p>
    <w:p w14:paraId="08709732" w14:textId="77777777" w:rsidR="008C408F" w:rsidRDefault="008C408F">
      <w:pPr>
        <w:rPr>
          <w:rStyle w:val="eop"/>
          <w:rFonts w:cs="Segoe UI"/>
        </w:rPr>
      </w:pPr>
    </w:p>
    <w:p w14:paraId="4DEF8E78" w14:textId="77777777" w:rsidR="00223923" w:rsidRDefault="00223923">
      <w:pPr>
        <w:rPr>
          <w:rStyle w:val="eop"/>
          <w:rFonts w:cs="Segoe UI"/>
        </w:rPr>
      </w:pPr>
    </w:p>
    <w:p w14:paraId="6F487BBA" w14:textId="77777777" w:rsidR="009C6B27" w:rsidRDefault="009C6B27">
      <w:pPr>
        <w:rPr>
          <w:rStyle w:val="eop"/>
          <w:rFonts w:cs="Segoe UI"/>
        </w:rPr>
      </w:pPr>
    </w:p>
    <w:p w14:paraId="327BCC2D" w14:textId="77777777" w:rsidR="009C6B27" w:rsidRDefault="009C6B27">
      <w:pPr>
        <w:rPr>
          <w:rStyle w:val="eop"/>
          <w:rFonts w:cs="Segoe UI"/>
        </w:rPr>
      </w:pPr>
    </w:p>
    <w:p w14:paraId="60679F7E" w14:textId="77777777" w:rsidR="00F93A9A" w:rsidRDefault="00F93A9A">
      <w:pPr>
        <w:rPr>
          <w:rStyle w:val="eop"/>
          <w:rFonts w:cs="Segoe UI"/>
        </w:rPr>
      </w:pPr>
    </w:p>
    <w:p w14:paraId="6A14CFBF" w14:textId="77777777" w:rsidR="00F93A9A" w:rsidRDefault="00F93A9A">
      <w:pPr>
        <w:rPr>
          <w:rStyle w:val="eop"/>
          <w:rFonts w:cs="Segoe UI"/>
        </w:rPr>
      </w:pPr>
    </w:p>
    <w:p w14:paraId="20332B5F" w14:textId="77777777" w:rsidR="00F93A9A" w:rsidRDefault="00F93A9A">
      <w:pPr>
        <w:rPr>
          <w:rStyle w:val="eop"/>
          <w:rFonts w:cs="Segoe UI"/>
        </w:rPr>
      </w:pPr>
    </w:p>
    <w:p w14:paraId="61B43DF6" w14:textId="77777777" w:rsidR="00F93A9A" w:rsidRDefault="00F93A9A">
      <w:pPr>
        <w:rPr>
          <w:rStyle w:val="eop"/>
          <w:rFonts w:cs="Segoe UI"/>
        </w:rPr>
      </w:pPr>
    </w:p>
    <w:p w14:paraId="2E022816" w14:textId="77777777" w:rsidR="00F93A9A" w:rsidRDefault="00F93A9A">
      <w:pPr>
        <w:rPr>
          <w:rStyle w:val="eop"/>
          <w:rFonts w:cs="Segoe UI"/>
        </w:rPr>
      </w:pPr>
    </w:p>
    <w:p w14:paraId="0139B44D" w14:textId="77777777" w:rsidR="00A554BF" w:rsidRDefault="00A554BF">
      <w:pPr>
        <w:rPr>
          <w:rStyle w:val="eop"/>
          <w:rFonts w:cs="Segoe UI"/>
        </w:rPr>
      </w:pPr>
    </w:p>
    <w:p w14:paraId="65DC6517" w14:textId="77777777" w:rsidR="00A554BF" w:rsidRDefault="00A554BF">
      <w:pPr>
        <w:rPr>
          <w:rStyle w:val="eop"/>
          <w:rFonts w:cs="Segoe UI"/>
        </w:rPr>
      </w:pPr>
    </w:p>
    <w:p w14:paraId="6949ED43" w14:textId="77777777" w:rsidR="00A554BF" w:rsidRDefault="00A554BF">
      <w:pPr>
        <w:rPr>
          <w:rStyle w:val="eop"/>
          <w:rFonts w:cs="Segoe UI"/>
        </w:rPr>
      </w:pPr>
    </w:p>
    <w:p w14:paraId="3975DD6B" w14:textId="77777777" w:rsidR="00F93A9A" w:rsidRDefault="00F93A9A">
      <w:pPr>
        <w:rPr>
          <w:rStyle w:val="eop"/>
          <w:rFonts w:cs="Segoe UI"/>
        </w:rPr>
      </w:pPr>
    </w:p>
    <w:p w14:paraId="37F2B336" w14:textId="77777777" w:rsidR="008C408F" w:rsidRDefault="008C408F">
      <w:pPr>
        <w:rPr>
          <w:rStyle w:val="eop"/>
          <w:rFonts w:cs="Segoe UI"/>
        </w:rPr>
        <w:sectPr w:rsidR="008C408F" w:rsidSect="008C408F">
          <w:type w:val="continuous"/>
          <w:pgSz w:w="11906" w:h="16838"/>
          <w:pgMar w:top="1440" w:right="1440" w:bottom="1440" w:left="1440" w:header="708" w:footer="708" w:gutter="0"/>
          <w:cols w:num="2" w:space="708"/>
          <w:docGrid w:linePitch="360"/>
        </w:sectPr>
      </w:pPr>
    </w:p>
    <w:p w14:paraId="6DAAEB9A" w14:textId="77777777" w:rsidR="009B50DE" w:rsidRDefault="009B50DE">
      <w:pPr>
        <w:spacing w:before="0" w:after="160"/>
        <w:rPr>
          <w:rFonts w:eastAsiaTheme="majorEastAsia" w:cstheme="majorBidi"/>
          <w:sz w:val="40"/>
          <w:szCs w:val="32"/>
        </w:rPr>
      </w:pPr>
      <w:r>
        <w:br w:type="page"/>
      </w:r>
    </w:p>
    <w:p w14:paraId="400E1AB7" w14:textId="284F3EE9" w:rsidR="002E4A02" w:rsidRPr="00DD1045" w:rsidRDefault="002E4A02" w:rsidP="002E4A02">
      <w:pPr>
        <w:pStyle w:val="ARMainTitle"/>
        <w:pBdr>
          <w:bottom w:val="single" w:sz="4" w:space="1" w:color="auto"/>
        </w:pBdr>
      </w:pPr>
      <w:bookmarkStart w:id="27" w:name="_Toc172009639"/>
      <w:r w:rsidRPr="00DD1045">
        <w:lastRenderedPageBreak/>
        <w:t>Our Board of Directors</w:t>
      </w:r>
      <w:bookmarkEnd w:id="27"/>
    </w:p>
    <w:p w14:paraId="217A6A7B" w14:textId="77777777" w:rsidR="00004687" w:rsidRPr="00DD1045" w:rsidRDefault="00004687" w:rsidP="006838FC">
      <w:pPr>
        <w:pStyle w:val="ARSub-heading2"/>
        <w:rPr>
          <w:lang w:eastAsia="en-AU"/>
        </w:rPr>
        <w:sectPr w:rsidR="00004687" w:rsidRPr="00DD1045" w:rsidSect="0012721E">
          <w:type w:val="continuous"/>
          <w:pgSz w:w="11906" w:h="16838"/>
          <w:pgMar w:top="1440" w:right="1440" w:bottom="1440" w:left="1440" w:header="708" w:footer="708" w:gutter="0"/>
          <w:cols w:space="708"/>
          <w:docGrid w:linePitch="360"/>
        </w:sectPr>
      </w:pPr>
    </w:p>
    <w:p w14:paraId="1F240BD7" w14:textId="60B84BE5" w:rsidR="006838FC" w:rsidRPr="00DD1045" w:rsidRDefault="006838FC" w:rsidP="006838FC">
      <w:pPr>
        <w:pStyle w:val="ARSub-heading2"/>
        <w:rPr>
          <w:lang w:eastAsia="en-AU"/>
        </w:rPr>
      </w:pPr>
      <w:bookmarkStart w:id="28" w:name="_Toc172009640"/>
      <w:r w:rsidRPr="00DD1045">
        <w:rPr>
          <w:lang w:eastAsia="en-AU"/>
        </w:rPr>
        <w:t xml:space="preserve">Dr Anthony Lynham </w:t>
      </w:r>
      <w:r w:rsidR="00D179B5">
        <w:rPr>
          <w:lang w:eastAsia="en-AU"/>
        </w:rPr>
        <w:t>–</w:t>
      </w:r>
      <w:r w:rsidRPr="00DD1045">
        <w:rPr>
          <w:lang w:eastAsia="en-AU"/>
        </w:rPr>
        <w:t xml:space="preserve"> Chair</w:t>
      </w:r>
      <w:bookmarkEnd w:id="28"/>
    </w:p>
    <w:p w14:paraId="44E6EFFA" w14:textId="77777777" w:rsidR="006838FC" w:rsidRPr="00DD1045" w:rsidRDefault="006838FC" w:rsidP="006838FC">
      <w:pPr>
        <w:rPr>
          <w:b/>
          <w:bCs/>
          <w:lang w:eastAsia="en-AU"/>
        </w:rPr>
      </w:pPr>
      <w:r w:rsidRPr="00DD1045">
        <w:rPr>
          <w:b/>
          <w:bCs/>
          <w:lang w:eastAsia="en-AU"/>
        </w:rPr>
        <w:t>BDSC BMed (HONS), FRACDS (OMS) FRCS Ed</w:t>
      </w:r>
    </w:p>
    <w:p w14:paraId="6A911E7D" w14:textId="77777777" w:rsidR="006838FC" w:rsidRPr="00DD1045" w:rsidRDefault="006838FC" w:rsidP="006838FC">
      <w:pPr>
        <w:rPr>
          <w:lang w:eastAsia="en-AU"/>
        </w:rPr>
      </w:pPr>
      <w:r w:rsidRPr="00DD1045">
        <w:rPr>
          <w:lang w:eastAsia="en-AU"/>
        </w:rPr>
        <w:t>Dr Anthony Lynham is a former Senior Government Minister and Consultant Maxillofacial Surgeon here in Brisbane. He is active in the corporate and not for profit sectors having diverse board roles as Chair of Gladstone Ports Corporation, Director of Aboriginal and Torres Strait Islander Community Health, Director of Toowoomba and Surat Basin Enterprise and a member of the Cell and Tissue Engineering Advisory Board CTET. He is a Chair of the Jamieson Trauma Institute, an institute devoted to improving treatment and rehabilitation outcomes for those who have experienced serious trauma. He is also a Patron of Life Education. He still continues to practice in the important speciality of Maxillofacial Surgery.</w:t>
      </w:r>
    </w:p>
    <w:p w14:paraId="24549FF4" w14:textId="77777777" w:rsidR="00004687" w:rsidRPr="00DD1045" w:rsidRDefault="00004687" w:rsidP="006838FC">
      <w:pPr>
        <w:rPr>
          <w:lang w:eastAsia="en-AU"/>
        </w:rPr>
      </w:pPr>
    </w:p>
    <w:p w14:paraId="33DFA39E" w14:textId="50C2F892" w:rsidR="00F6036B" w:rsidRPr="00DD1045" w:rsidRDefault="00F6036B" w:rsidP="00F6036B">
      <w:pPr>
        <w:pStyle w:val="ARSub-heading2"/>
        <w:rPr>
          <w:lang w:eastAsia="en-AU"/>
        </w:rPr>
      </w:pPr>
      <w:bookmarkStart w:id="29" w:name="_Toc172009641"/>
      <w:r w:rsidRPr="00DD1045">
        <w:rPr>
          <w:lang w:eastAsia="en-AU"/>
        </w:rPr>
        <w:t xml:space="preserve">Jacqueline King </w:t>
      </w:r>
      <w:r w:rsidR="00D179B5">
        <w:rPr>
          <w:lang w:eastAsia="en-AU"/>
        </w:rPr>
        <w:t>–</w:t>
      </w:r>
      <w:r w:rsidRPr="00DD1045">
        <w:rPr>
          <w:lang w:eastAsia="en-AU"/>
        </w:rPr>
        <w:t xml:space="preserve"> Deputy Chair</w:t>
      </w:r>
      <w:bookmarkEnd w:id="29"/>
    </w:p>
    <w:p w14:paraId="2594ADE8" w14:textId="77777777" w:rsidR="00F6036B" w:rsidRPr="00DD1045" w:rsidRDefault="00F6036B" w:rsidP="00F6036B">
      <w:pPr>
        <w:rPr>
          <w:b/>
          <w:bCs/>
          <w:lang w:eastAsia="en-AU"/>
        </w:rPr>
      </w:pPr>
      <w:r w:rsidRPr="00DD1045">
        <w:rPr>
          <w:b/>
          <w:bCs/>
          <w:lang w:eastAsia="en-AU"/>
        </w:rPr>
        <w:t>LLB(Hons), GDip Professional Legal Practice, MBA</w:t>
      </w:r>
    </w:p>
    <w:p w14:paraId="77BDAB22" w14:textId="77777777" w:rsidR="00F6036B" w:rsidRDefault="00F6036B" w:rsidP="00F6036B">
      <w:pPr>
        <w:rPr>
          <w:lang w:eastAsia="en-AU"/>
        </w:rPr>
      </w:pPr>
      <w:r w:rsidRPr="00DD1045">
        <w:rPr>
          <w:lang w:eastAsia="en-AU"/>
        </w:rPr>
        <w:t>Jacqueline King is the General Secretary of the Queensland Council of Unions representing the interests of around 400,000 members in Queensland. Jacqueline has previously worked for the Finance Sector Union, the Australian Services Union, the Australian Manufacturing Workers Union and the Australian Council of Trade Unions. She has also been a senior Government advisor in the fields of employment, industrial relations, training, and work health and safety and led an industry training organisation providing both electrical and work health and safety training and skills assessments for overseas qualified electrical workers migrating to Australia. Jacqueline is also a Director with CS Energy, a Queensland owned and based energy company and is an experienced Director, previously on the Boards of Stanwell and Energy Skills Queensland. She holds a Bachelor of Laws (Honours) First Class Honours degree and a Master of Business Administration, along with several qualifications in management, work health and safety and training design and development.</w:t>
      </w:r>
    </w:p>
    <w:p w14:paraId="7AF875BB" w14:textId="4E504A6C" w:rsidR="00F6036B" w:rsidRPr="00DD1045" w:rsidRDefault="00F6036B" w:rsidP="00004687">
      <w:pPr>
        <w:pStyle w:val="ARSub-heading2"/>
        <w:rPr>
          <w:lang w:eastAsia="en-AU"/>
        </w:rPr>
      </w:pPr>
      <w:bookmarkStart w:id="30" w:name="_Toc172009642"/>
      <w:r w:rsidRPr="00DD1045">
        <w:rPr>
          <w:lang w:eastAsia="en-AU"/>
        </w:rPr>
        <w:t xml:space="preserve">Judy Bertram </w:t>
      </w:r>
      <w:r w:rsidR="00D179B5">
        <w:rPr>
          <w:lang w:eastAsia="en-AU"/>
        </w:rPr>
        <w:t>–</w:t>
      </w:r>
      <w:r w:rsidRPr="00DD1045">
        <w:rPr>
          <w:lang w:eastAsia="en-AU"/>
        </w:rPr>
        <w:t xml:space="preserve"> Director</w:t>
      </w:r>
      <w:bookmarkEnd w:id="30"/>
    </w:p>
    <w:p w14:paraId="28C983B1" w14:textId="77777777" w:rsidR="00F6036B" w:rsidRPr="00DD1045" w:rsidRDefault="00F6036B" w:rsidP="00F6036B">
      <w:pPr>
        <w:rPr>
          <w:b/>
          <w:bCs/>
          <w:lang w:eastAsia="en-AU"/>
        </w:rPr>
      </w:pPr>
      <w:r w:rsidRPr="00DD1045">
        <w:rPr>
          <w:b/>
          <w:bCs/>
          <w:lang w:eastAsia="en-AU"/>
        </w:rPr>
        <w:t>B Sc, Dip Ed, GAICD</w:t>
      </w:r>
    </w:p>
    <w:p w14:paraId="1F185801" w14:textId="3F5103B3" w:rsidR="00F6036B" w:rsidRPr="00DD1045" w:rsidRDefault="00F6036B" w:rsidP="001179CA">
      <w:pPr>
        <w:rPr>
          <w:lang w:eastAsia="en-AU"/>
        </w:rPr>
      </w:pPr>
      <w:r w:rsidRPr="00DD1045">
        <w:rPr>
          <w:lang w:eastAsia="en-AU"/>
        </w:rPr>
        <w:t>Judy has extensive experience at senior levels in government leading the strategy, policy and operational management of workplace health and safety and in strategic policy and planning roles in the vocational education and training system and child safety. Judy has been employed by the Queensland Resources Council since 2012 and is currently the Deputy Chief Executive and oversees the Community and Safety policy areas. She is also a Trustee Board Director of MineSuper and served for nine years as a Director on the Board of Deaf Services Queensland.</w:t>
      </w:r>
    </w:p>
    <w:p w14:paraId="6D86B432" w14:textId="77777777" w:rsidR="00004687" w:rsidRPr="00DD1045" w:rsidRDefault="00004687" w:rsidP="001179CA">
      <w:pPr>
        <w:rPr>
          <w:lang w:eastAsia="en-AU"/>
        </w:rPr>
      </w:pPr>
    </w:p>
    <w:p w14:paraId="0E2A4488" w14:textId="04D9F632" w:rsidR="001179CA" w:rsidRPr="008A2A34" w:rsidRDefault="001179CA" w:rsidP="008A2A34">
      <w:pPr>
        <w:pStyle w:val="ARSub-heading2"/>
      </w:pPr>
      <w:bookmarkStart w:id="31" w:name="_Toc172009643"/>
      <w:r w:rsidRPr="008A2A34">
        <w:t xml:space="preserve">Kerriann Dear </w:t>
      </w:r>
      <w:r w:rsidR="00D179B5" w:rsidRPr="008A2A34">
        <w:t>–</w:t>
      </w:r>
      <w:r w:rsidRPr="008A2A34">
        <w:t xml:space="preserve"> Director</w:t>
      </w:r>
      <w:bookmarkEnd w:id="31"/>
    </w:p>
    <w:p w14:paraId="7E3F62A1" w14:textId="49640D5B" w:rsidR="001179CA" w:rsidRPr="006A193A" w:rsidRDefault="25EB4AB7" w:rsidP="006A193A">
      <w:pPr>
        <w:rPr>
          <w:b/>
          <w:bCs/>
          <w:lang w:eastAsia="en-AU"/>
        </w:rPr>
      </w:pPr>
      <w:r w:rsidRPr="006A193A">
        <w:rPr>
          <w:b/>
          <w:bCs/>
          <w:lang w:eastAsia="en-AU"/>
        </w:rPr>
        <w:t>BEnvSc, BSocWk (Hons, first)</w:t>
      </w:r>
    </w:p>
    <w:p w14:paraId="5E9E6871" w14:textId="187AC0A7" w:rsidR="001179CA" w:rsidRPr="008A2A34" w:rsidRDefault="23536D1A" w:rsidP="3DFEC42B">
      <w:pPr>
        <w:spacing w:before="0" w:after="0"/>
        <w:rPr>
          <w:rFonts w:eastAsia="Source Sans Pro" w:cs="Source Sans Pro"/>
          <w:color w:val="000000" w:themeColor="text1"/>
        </w:rPr>
      </w:pPr>
      <w:r w:rsidRPr="008A2A34">
        <w:rPr>
          <w:rFonts w:eastAsia="Source Sans Pro" w:cs="Source Sans Pro"/>
          <w:color w:val="000000" w:themeColor="text1"/>
        </w:rPr>
        <w:t xml:space="preserve">Kerriann has worked in the women’s and community legal sectors in the field of industrial relations social work since 1999. She has performed executive leadership roles including as the CEO of Queensland Working Women’s </w:t>
      </w:r>
      <w:r w:rsidR="00A62EFA" w:rsidRPr="008A2A34">
        <w:rPr>
          <w:rFonts w:eastAsia="Source Sans Pro" w:cs="Source Sans Pro"/>
          <w:color w:val="000000" w:themeColor="text1"/>
        </w:rPr>
        <w:t>Service Inc.</w:t>
      </w:r>
      <w:r w:rsidR="00EA5EB3">
        <w:rPr>
          <w:rFonts w:eastAsia="Source Sans Pro" w:cs="Source Sans Pro"/>
          <w:color w:val="000000" w:themeColor="text1"/>
        </w:rPr>
        <w:t>,</w:t>
      </w:r>
      <w:r w:rsidRPr="008A2A34">
        <w:rPr>
          <w:rFonts w:eastAsia="Source Sans Pro" w:cs="Source Sans Pro"/>
          <w:color w:val="000000" w:themeColor="text1"/>
        </w:rPr>
        <w:t xml:space="preserve"> Co-Director of Basic Rights Queensland Inc. and Sector Sustainability Coordinator for the Peak Body for Community Legal Centres in Queensland. Kerriann undertook the lead role in the conceptualisation and implementation of Domestic and Family Violence Work Aware which delivers training nationally. Serving as a Director on the Board of WorkCover Queensland, since 2017, she also volunteers her time in governance roles in the </w:t>
      </w:r>
      <w:r w:rsidR="00A24634" w:rsidRPr="008A2A34">
        <w:rPr>
          <w:rFonts w:eastAsia="Source Sans Pro" w:cs="Source Sans Pro"/>
          <w:color w:val="000000" w:themeColor="text1"/>
        </w:rPr>
        <w:t>not-for-profit</w:t>
      </w:r>
      <w:r w:rsidRPr="008A2A34">
        <w:rPr>
          <w:rFonts w:eastAsia="Source Sans Pro" w:cs="Source Sans Pro"/>
          <w:color w:val="000000" w:themeColor="text1"/>
        </w:rPr>
        <w:t xml:space="preserve"> community sector and is particularly passionate about women’s empowerment in the workplace.</w:t>
      </w:r>
    </w:p>
    <w:p w14:paraId="0580015B" w14:textId="4C583E0A" w:rsidR="3DFEC42B" w:rsidRDefault="3DFEC42B" w:rsidP="3DFEC42B">
      <w:pPr>
        <w:rPr>
          <w:lang w:eastAsia="en-AU"/>
        </w:rPr>
      </w:pPr>
    </w:p>
    <w:p w14:paraId="246B6D33" w14:textId="77777777" w:rsidR="00D2190B" w:rsidRDefault="00D2190B">
      <w:pPr>
        <w:spacing w:before="0" w:after="160"/>
        <w:rPr>
          <w:rFonts w:ascii="Source Sans Pro SemiBold" w:eastAsiaTheme="majorEastAsia" w:hAnsi="Source Sans Pro SemiBold" w:cstheme="majorBidi"/>
          <w:sz w:val="22"/>
          <w:szCs w:val="32"/>
          <w:lang w:eastAsia="en-AU"/>
        </w:rPr>
      </w:pPr>
      <w:bookmarkStart w:id="32" w:name="_Toc172009644"/>
      <w:r>
        <w:rPr>
          <w:lang w:eastAsia="en-AU"/>
        </w:rPr>
        <w:br w:type="page"/>
      </w:r>
    </w:p>
    <w:p w14:paraId="41849FB3" w14:textId="6C8AD071" w:rsidR="005C40D1" w:rsidRPr="00DD1045" w:rsidRDefault="005C40D1" w:rsidP="005C40D1">
      <w:pPr>
        <w:pStyle w:val="ARSub-heading2"/>
        <w:rPr>
          <w:lang w:eastAsia="en-AU"/>
        </w:rPr>
      </w:pPr>
      <w:r w:rsidRPr="00DD1045">
        <w:rPr>
          <w:lang w:eastAsia="en-AU"/>
        </w:rPr>
        <w:lastRenderedPageBreak/>
        <w:t xml:space="preserve">Sarah Morris </w:t>
      </w:r>
      <w:r w:rsidR="00D179B5">
        <w:rPr>
          <w:lang w:eastAsia="en-AU"/>
        </w:rPr>
        <w:t>–</w:t>
      </w:r>
      <w:r w:rsidRPr="00DD1045">
        <w:rPr>
          <w:lang w:eastAsia="en-AU"/>
        </w:rPr>
        <w:t xml:space="preserve"> Director</w:t>
      </w:r>
      <w:bookmarkEnd w:id="32"/>
    </w:p>
    <w:p w14:paraId="17EF7F4E" w14:textId="77777777" w:rsidR="005C40D1" w:rsidRPr="00DD1045" w:rsidRDefault="005C40D1" w:rsidP="005C40D1">
      <w:pPr>
        <w:rPr>
          <w:b/>
          <w:bCs/>
          <w:lang w:eastAsia="en-AU"/>
        </w:rPr>
      </w:pPr>
      <w:r w:rsidRPr="00DD1045">
        <w:rPr>
          <w:b/>
          <w:bCs/>
          <w:lang w:eastAsia="en-AU"/>
        </w:rPr>
        <w:t>BEcon, GDip Applied Finance and Investment, GDip Applied Corporate Governance, CA, FGIA, GAICD</w:t>
      </w:r>
    </w:p>
    <w:p w14:paraId="59F38EAE" w14:textId="77777777" w:rsidR="005C40D1" w:rsidRDefault="005C40D1" w:rsidP="005C40D1">
      <w:pPr>
        <w:rPr>
          <w:lang w:eastAsia="en-AU"/>
        </w:rPr>
      </w:pPr>
      <w:r w:rsidRPr="00DD1045">
        <w:rPr>
          <w:lang w:eastAsia="en-AU"/>
        </w:rPr>
        <w:t>Sarah Morris is Executive Manager – Strategy and Finance at TUH Health Fund. Sarah has held senior and executive positions with several organisations across defence services, finance, insurance, resources and professional services industries. She is a former state and national councillor of the Governance Institute of Australia and is the current WorkCover Risk and Audit Committee Chair.</w:t>
      </w:r>
    </w:p>
    <w:p w14:paraId="450F887F" w14:textId="77777777" w:rsidR="009B50DE" w:rsidRPr="00DD1045" w:rsidRDefault="009B50DE" w:rsidP="005C40D1">
      <w:pPr>
        <w:rPr>
          <w:lang w:eastAsia="en-AU"/>
        </w:rPr>
      </w:pPr>
    </w:p>
    <w:p w14:paraId="7FB502BE" w14:textId="0A3FCC05" w:rsidR="001179CA" w:rsidRPr="00DD1045" w:rsidRDefault="001179CA" w:rsidP="001179CA">
      <w:pPr>
        <w:pStyle w:val="ARSub-heading2"/>
        <w:rPr>
          <w:lang w:eastAsia="en-AU"/>
        </w:rPr>
      </w:pPr>
      <w:bookmarkStart w:id="33" w:name="_Toc172009645"/>
      <w:r w:rsidRPr="00DD1045">
        <w:rPr>
          <w:lang w:eastAsia="en-AU"/>
        </w:rPr>
        <w:t xml:space="preserve">Stephen Havas </w:t>
      </w:r>
      <w:r w:rsidR="00D179B5">
        <w:rPr>
          <w:lang w:eastAsia="en-AU"/>
        </w:rPr>
        <w:t>–</w:t>
      </w:r>
      <w:r w:rsidRPr="00DD1045">
        <w:rPr>
          <w:lang w:eastAsia="en-AU"/>
        </w:rPr>
        <w:t xml:space="preserve"> Director</w:t>
      </w:r>
      <w:bookmarkEnd w:id="33"/>
    </w:p>
    <w:p w14:paraId="24DC1235" w14:textId="6CED05E3" w:rsidR="00004687" w:rsidRDefault="001179CA" w:rsidP="00004687">
      <w:pPr>
        <w:rPr>
          <w:lang w:eastAsia="en-AU"/>
        </w:rPr>
      </w:pPr>
      <w:r w:rsidRPr="00DD1045">
        <w:rPr>
          <w:lang w:eastAsia="en-AU"/>
        </w:rPr>
        <w:t xml:space="preserve">Stephen is a non-Executive Director, Chair, Committee Member and Managing Director with 35 years’ experience as the owner of businesses and over </w:t>
      </w:r>
      <w:r w:rsidR="00305192">
        <w:rPr>
          <w:lang w:eastAsia="en-AU"/>
        </w:rPr>
        <w:t>nine</w:t>
      </w:r>
      <w:r w:rsidRPr="00DD1045">
        <w:rPr>
          <w:lang w:eastAsia="en-AU"/>
        </w:rPr>
        <w:t xml:space="preserve"> years’ Board level experience across private and not for profit sectors. Currently Stephen is a non-executive Director of Master Builders Queensland, Chair of the Housing committee, and a member of multiple subcommittees including Audit and Risk, and Remuneration. At an executive level, Stephen is Managing Director of Garth Chapman Queenslanders SEQ, a boutique design and construct building company, a position held since 1999. Previously, he held the Chair and Deputy Chair positions on a not-for-profit Board (education sector).</w:t>
      </w:r>
    </w:p>
    <w:p w14:paraId="79BBA10A" w14:textId="77777777" w:rsidR="00FC0319" w:rsidRDefault="00FC0319" w:rsidP="00004687">
      <w:pPr>
        <w:rPr>
          <w:lang w:eastAsia="en-AU"/>
        </w:rPr>
      </w:pPr>
    </w:p>
    <w:p w14:paraId="636B1D8B" w14:textId="77777777" w:rsidR="00FC0319" w:rsidRPr="00DD1045" w:rsidRDefault="00FC0319" w:rsidP="00FC0319">
      <w:pPr>
        <w:pStyle w:val="ARSub-heading2"/>
        <w:rPr>
          <w:lang w:eastAsia="en-AU"/>
        </w:rPr>
      </w:pPr>
      <w:bookmarkStart w:id="34" w:name="_Toc172009646"/>
      <w:r w:rsidRPr="00DD1045">
        <w:rPr>
          <w:lang w:eastAsia="en-AU"/>
        </w:rPr>
        <w:t xml:space="preserve">Stacey Schinnerl </w:t>
      </w:r>
      <w:r>
        <w:rPr>
          <w:lang w:eastAsia="en-AU"/>
        </w:rPr>
        <w:t>–</w:t>
      </w:r>
      <w:r w:rsidRPr="00DD1045">
        <w:rPr>
          <w:lang w:eastAsia="en-AU"/>
        </w:rPr>
        <w:t xml:space="preserve"> Director</w:t>
      </w:r>
      <w:bookmarkEnd w:id="34"/>
    </w:p>
    <w:p w14:paraId="1F5942E0" w14:textId="77777777" w:rsidR="00FC0319" w:rsidRPr="00DD1045" w:rsidRDefault="00FC0319" w:rsidP="00FC0319">
      <w:pPr>
        <w:rPr>
          <w:b/>
          <w:bCs/>
          <w:lang w:eastAsia="en-AU"/>
        </w:rPr>
      </w:pPr>
      <w:r w:rsidRPr="00DD1045">
        <w:rPr>
          <w:b/>
          <w:bCs/>
          <w:lang w:eastAsia="en-AU"/>
        </w:rPr>
        <w:t>BBus</w:t>
      </w:r>
    </w:p>
    <w:p w14:paraId="3E675C00" w14:textId="26DEB3C9" w:rsidR="00FC0319" w:rsidRPr="00DD1045" w:rsidRDefault="00FC0319" w:rsidP="00FC0319">
      <w:pPr>
        <w:rPr>
          <w:lang w:eastAsia="en-AU"/>
        </w:rPr>
      </w:pPr>
      <w:r w:rsidRPr="00DD1045">
        <w:rPr>
          <w:lang w:eastAsia="en-AU"/>
        </w:rPr>
        <w:t>Stacey is the Secretary of The Australian Workers’ Union of Employees, Queensland and the Branch Secretary of The Australian Workers’ Union (Queensland Branch). In both industrial advocacy and elected union positions, Stacey has represented the interests of Queensland workers for nearly 20 years. Stacey has previously served on the Executive of the Australian Council of Trade Unions and is a current Director on the Board of Chifley Services Pty Ltd. She holds a Bachelor of Business degree majoring in Human Resource Management and Employment Relations.</w:t>
      </w:r>
    </w:p>
    <w:p w14:paraId="5E945AA4" w14:textId="342E7272" w:rsidR="00E3701A" w:rsidRPr="00DD1045" w:rsidRDefault="00E3701A" w:rsidP="00004687">
      <w:pPr>
        <w:pStyle w:val="ARSub-heading2"/>
        <w:rPr>
          <w:lang w:eastAsia="en-AU"/>
        </w:rPr>
      </w:pPr>
      <w:bookmarkStart w:id="35" w:name="_Toc172009647"/>
      <w:r w:rsidRPr="00DD1045">
        <w:rPr>
          <w:lang w:eastAsia="en-AU"/>
        </w:rPr>
        <w:t xml:space="preserve">Ian Leavers </w:t>
      </w:r>
      <w:r w:rsidR="00D179B5">
        <w:rPr>
          <w:lang w:eastAsia="en-AU"/>
        </w:rPr>
        <w:t>–</w:t>
      </w:r>
      <w:r w:rsidRPr="00DD1045">
        <w:rPr>
          <w:lang w:eastAsia="en-AU"/>
        </w:rPr>
        <w:t xml:space="preserve"> Director</w:t>
      </w:r>
      <w:bookmarkEnd w:id="35"/>
    </w:p>
    <w:p w14:paraId="7C663358" w14:textId="77777777" w:rsidR="00E3701A" w:rsidRPr="00DD1045" w:rsidRDefault="00E3701A" w:rsidP="00E3701A">
      <w:pPr>
        <w:rPr>
          <w:b/>
          <w:bCs/>
          <w:lang w:eastAsia="en-AU"/>
        </w:rPr>
      </w:pPr>
      <w:r w:rsidRPr="00DD1045">
        <w:rPr>
          <w:b/>
          <w:bCs/>
          <w:lang w:eastAsia="en-AU"/>
        </w:rPr>
        <w:t>APM</w:t>
      </w:r>
    </w:p>
    <w:p w14:paraId="13812699" w14:textId="5B6997BE" w:rsidR="006838FC" w:rsidRPr="00DD1045" w:rsidRDefault="00E3701A" w:rsidP="00E3701A">
      <w:pPr>
        <w:rPr>
          <w:lang w:eastAsia="en-AU"/>
        </w:rPr>
      </w:pPr>
      <w:r w:rsidRPr="00DD1045">
        <w:rPr>
          <w:lang w:eastAsia="en-AU"/>
        </w:rPr>
        <w:t xml:space="preserve">Ian is the General President and CEO of the Queensland Police Union, a position he has held since 2009, as well as the President of the Police Federation of Australia. He has been involved with the Queensland Police Union as a union official since 1997. Since 2013, he has been a Director of QBank. Ian was formerly a member of the Domestic and Family Violence Implementation Council, former director on the Queensland Workplace Health and Safety </w:t>
      </w:r>
      <w:r w:rsidR="005237D4" w:rsidRPr="00DD1045">
        <w:rPr>
          <w:lang w:eastAsia="en-AU"/>
        </w:rPr>
        <w:t>Board and</w:t>
      </w:r>
      <w:r w:rsidRPr="00DD1045">
        <w:rPr>
          <w:lang w:eastAsia="en-AU"/>
        </w:rPr>
        <w:t xml:space="preserve"> is now a Domestic and Family Violence Prevention Champion for the Queensland Government. Ian was awarded the Australian Police Medal (APM) in the 2020 Queen's Birthday Honours List for his outstanding police leadership, advocacy and improvement of wages and conditions for all </w:t>
      </w:r>
      <w:r w:rsidR="005237D4" w:rsidRPr="00DD1045">
        <w:rPr>
          <w:lang w:eastAsia="en-AU"/>
        </w:rPr>
        <w:t>police and</w:t>
      </w:r>
      <w:r w:rsidRPr="00DD1045">
        <w:rPr>
          <w:lang w:eastAsia="en-AU"/>
        </w:rPr>
        <w:t xml:space="preserve"> being at the forefront of the creation of modern policing policy at both a state and national level, particularly with legislative reform.</w:t>
      </w:r>
    </w:p>
    <w:p w14:paraId="701F3438" w14:textId="77777777" w:rsidR="00004687" w:rsidRPr="00DD1045" w:rsidRDefault="00004687" w:rsidP="00E3701A">
      <w:pPr>
        <w:rPr>
          <w:lang w:eastAsia="en-AU"/>
        </w:rPr>
      </w:pPr>
    </w:p>
    <w:p w14:paraId="1B2735FA" w14:textId="77777777" w:rsidR="00004687" w:rsidRPr="00DD1045" w:rsidRDefault="00004687" w:rsidP="00004687">
      <w:pPr>
        <w:pStyle w:val="ARSub-heading2"/>
        <w:rPr>
          <w:lang w:eastAsia="en-AU"/>
        </w:rPr>
      </w:pPr>
      <w:bookmarkStart w:id="36" w:name="_Toc172009648"/>
      <w:r w:rsidRPr="00DD1045">
        <w:rPr>
          <w:lang w:eastAsia="en-AU"/>
        </w:rPr>
        <w:t>Sandra McCullagh – Director</w:t>
      </w:r>
      <w:bookmarkEnd w:id="36"/>
    </w:p>
    <w:p w14:paraId="4A4E7556" w14:textId="77777777" w:rsidR="00004687" w:rsidRPr="00DD1045" w:rsidRDefault="00004687" w:rsidP="00004687">
      <w:pPr>
        <w:rPr>
          <w:b/>
          <w:bCs/>
          <w:lang w:eastAsia="en-AU"/>
        </w:rPr>
      </w:pPr>
      <w:r w:rsidRPr="00DD1045">
        <w:rPr>
          <w:b/>
          <w:bCs/>
          <w:lang w:eastAsia="en-AU"/>
        </w:rPr>
        <w:t>B Sc, B Arts, MBA, GAICD</w:t>
      </w:r>
    </w:p>
    <w:p w14:paraId="4F93209C" w14:textId="57BC026C" w:rsidR="00004687" w:rsidRPr="00DD1045" w:rsidRDefault="00004687">
      <w:r w:rsidRPr="3DFEC42B">
        <w:rPr>
          <w:lang w:eastAsia="en-AU"/>
        </w:rPr>
        <w:t>Sandra is an experienced non-executive director, with skills in finance, investments, ESG and energy. She is currently a non-executive director and chair of the Investment Committee at Australian Ethical (ASX:AEF) , a non-executive director at Sydney Dance Company, and chair of the Clayfield College Foundation.  Sandra was previously a trustee of QSuper, including chairing its Investment Committee, in the lead-up to its merger with SunSuper to create Australian Retirement Trust. In her executive career, Sandra worked for several energy companies including Energex, before moving into roles in investment banking including Head of Utilities Equities Research and ESG Research at Credit Suisse. Sandra is a member of Chief Executive Women and is on their Membership Committee.</w:t>
      </w:r>
    </w:p>
    <w:p w14:paraId="655A34F5" w14:textId="77777777" w:rsidR="00D83D86" w:rsidRDefault="00D83D86"/>
    <w:p w14:paraId="6A12B361" w14:textId="77777777" w:rsidR="00FC0319" w:rsidRDefault="00FC0319"/>
    <w:p w14:paraId="20F21CD0" w14:textId="77777777" w:rsidR="00FC0319" w:rsidRDefault="00FC0319"/>
    <w:p w14:paraId="7053BCF5" w14:textId="77777777" w:rsidR="00FC0319" w:rsidRPr="00DD1045" w:rsidRDefault="00FC0319">
      <w:pPr>
        <w:sectPr w:rsidR="00FC0319" w:rsidRPr="00DD1045" w:rsidSect="0012721E">
          <w:type w:val="continuous"/>
          <w:pgSz w:w="11906" w:h="16838"/>
          <w:pgMar w:top="1440" w:right="1440" w:bottom="1440" w:left="1440" w:header="708" w:footer="708" w:gutter="0"/>
          <w:cols w:num="2" w:space="708"/>
          <w:docGrid w:linePitch="360"/>
        </w:sectPr>
      </w:pPr>
    </w:p>
    <w:p w14:paraId="7823C7AD" w14:textId="08E00A7A" w:rsidR="002E4A02" w:rsidRPr="00DD1045" w:rsidRDefault="002E4A02" w:rsidP="00FC0319">
      <w:pPr>
        <w:pStyle w:val="ARMainTitle"/>
        <w:pBdr>
          <w:bottom w:val="single" w:sz="4" w:space="1" w:color="auto"/>
        </w:pBdr>
      </w:pPr>
      <w:bookmarkStart w:id="37" w:name="_Toc172009649"/>
      <w:r w:rsidRPr="00DD1045">
        <w:lastRenderedPageBreak/>
        <w:t>Executive Leadership Team</w:t>
      </w:r>
      <w:bookmarkEnd w:id="37"/>
    </w:p>
    <w:p w14:paraId="022AEDA0" w14:textId="77777777" w:rsidR="005C40D1" w:rsidRPr="00DD1045" w:rsidRDefault="005C40D1" w:rsidP="00394881">
      <w:pPr>
        <w:pStyle w:val="ARSub-heading2"/>
        <w:rPr>
          <w:lang w:eastAsia="en-AU"/>
        </w:rPr>
        <w:sectPr w:rsidR="005C40D1" w:rsidRPr="00DD1045" w:rsidSect="0012721E">
          <w:type w:val="continuous"/>
          <w:pgSz w:w="11906" w:h="16838"/>
          <w:pgMar w:top="1440" w:right="1440" w:bottom="1440" w:left="1440" w:header="708" w:footer="708" w:gutter="0"/>
          <w:cols w:space="708"/>
          <w:docGrid w:linePitch="360"/>
        </w:sectPr>
      </w:pPr>
    </w:p>
    <w:p w14:paraId="12F995EA" w14:textId="3DD29F54" w:rsidR="00D22201" w:rsidRDefault="00CC315D" w:rsidP="00D51518">
      <w:pPr>
        <w:pStyle w:val="ARSub-heading2"/>
        <w:rPr>
          <w:rStyle w:val="eop"/>
          <w:rFonts w:cs="Segoe UI"/>
          <w:color w:val="202020"/>
        </w:rPr>
      </w:pPr>
      <w:r>
        <w:rPr>
          <w:rStyle w:val="normaltextrun"/>
          <w:rFonts w:cs="Segoe UI"/>
          <w:color w:val="202020"/>
        </w:rPr>
        <w:t>Our Executive Management team includes the CEO and our Chief Officers who are each responsible for key areas of the business.</w:t>
      </w:r>
      <w:r>
        <w:rPr>
          <w:rStyle w:val="eop"/>
          <w:rFonts w:cs="Segoe UI"/>
          <w:color w:val="202020"/>
        </w:rPr>
        <w:t> </w:t>
      </w:r>
      <w:r>
        <w:rPr>
          <w:rStyle w:val="normaltextrun"/>
          <w:rFonts w:cs="Segoe UI"/>
          <w:color w:val="202020"/>
        </w:rPr>
        <w:t>This team reports to the Board and drives our people towards the vision and goals of the organisation, bound by our corporate values of excellence, integrity, responsiveness and respect.</w:t>
      </w:r>
      <w:r>
        <w:rPr>
          <w:rStyle w:val="eop"/>
          <w:rFonts w:cs="Segoe UI"/>
          <w:color w:val="202020"/>
        </w:rPr>
        <w:t> </w:t>
      </w:r>
    </w:p>
    <w:p w14:paraId="1DD6F0C5" w14:textId="77777777" w:rsidR="00D22201" w:rsidRDefault="00D22201" w:rsidP="00D22201">
      <w:pPr>
        <w:rPr>
          <w:rFonts w:ascii="Segoe UI" w:hAnsi="Segoe UI"/>
          <w:sz w:val="18"/>
          <w:szCs w:val="18"/>
        </w:rPr>
      </w:pPr>
    </w:p>
    <w:p w14:paraId="4EE7D46A" w14:textId="77777777" w:rsidR="00FC0319" w:rsidRDefault="00FC0319" w:rsidP="008D1D79">
      <w:pPr>
        <w:pStyle w:val="ARSub-heading2"/>
        <w:rPr>
          <w:lang w:eastAsia="en-AU"/>
        </w:rPr>
        <w:sectPr w:rsidR="00FC0319" w:rsidSect="009B50DE">
          <w:type w:val="continuous"/>
          <w:pgSz w:w="11906" w:h="16838"/>
          <w:pgMar w:top="1440" w:right="1440" w:bottom="1440" w:left="1440" w:header="708" w:footer="708" w:gutter="0"/>
          <w:cols w:space="708"/>
          <w:docGrid w:linePitch="360"/>
        </w:sectPr>
      </w:pPr>
    </w:p>
    <w:p w14:paraId="484F44FA" w14:textId="0BE26A74" w:rsidR="008D1D79" w:rsidRPr="00DD1045" w:rsidRDefault="008A2AE0" w:rsidP="008D1D79">
      <w:pPr>
        <w:pStyle w:val="ARSub-heading2"/>
        <w:rPr>
          <w:lang w:eastAsia="en-AU"/>
        </w:rPr>
      </w:pPr>
      <w:bookmarkStart w:id="38" w:name="_Toc172009650"/>
      <w:r>
        <w:rPr>
          <w:lang w:eastAsia="en-AU"/>
        </w:rPr>
        <w:t>Michael Pennisi</w:t>
      </w:r>
      <w:r w:rsidR="008D1D79" w:rsidRPr="00DD1045">
        <w:rPr>
          <w:lang w:eastAsia="en-AU"/>
        </w:rPr>
        <w:t xml:space="preserve"> </w:t>
      </w:r>
      <w:r w:rsidR="008D1D79">
        <w:rPr>
          <w:lang w:eastAsia="en-AU"/>
        </w:rPr>
        <w:t>–</w:t>
      </w:r>
      <w:r w:rsidR="008D1D79" w:rsidRPr="00DD1045">
        <w:rPr>
          <w:lang w:eastAsia="en-AU"/>
        </w:rPr>
        <w:t xml:space="preserve"> Chief Executive Officer</w:t>
      </w:r>
      <w:bookmarkEnd w:id="38"/>
    </w:p>
    <w:p w14:paraId="24161479" w14:textId="578B3765" w:rsidR="008D1D79" w:rsidRPr="00DD1045" w:rsidRDefault="00C602DB" w:rsidP="008D1D79">
      <w:pPr>
        <w:rPr>
          <w:b/>
          <w:bCs/>
          <w:lang w:eastAsia="en-AU"/>
        </w:rPr>
      </w:pPr>
      <w:r>
        <w:rPr>
          <w:b/>
          <w:bCs/>
          <w:lang w:eastAsia="en-AU"/>
        </w:rPr>
        <w:t>BEcon, BComm</w:t>
      </w:r>
      <w:r w:rsidR="00E44347">
        <w:rPr>
          <w:b/>
          <w:bCs/>
          <w:lang w:eastAsia="en-AU"/>
        </w:rPr>
        <w:t>, GAICD</w:t>
      </w:r>
    </w:p>
    <w:p w14:paraId="6E122DBF" w14:textId="6A9B4849" w:rsidR="008D1D79" w:rsidRDefault="0A9693CD">
      <w:pPr>
        <w:rPr>
          <w:lang w:eastAsia="en-AU"/>
        </w:rPr>
      </w:pPr>
      <w:r w:rsidRPr="5D4B2156">
        <w:rPr>
          <w:lang w:eastAsia="en-AU"/>
        </w:rPr>
        <w:t xml:space="preserve">Michael is an experienced chief executive with more than 30 years’ experience in CEO and executive roles in the financial services sector, including superannuation, insurance and investments. He has a proven track record of authentic, values-based and purpose-led leadership driving transformational change in large, complex businesses through strategy, exceptional delivery and broad engagement. Michael has a strong commitment to serving the needs of customers and the community. His deep knowledge of insurance and strong relationships with stakeholders are invaluable as WorkCover builds on a proud history as one of Australia’s strongest performing workers’ compensation insurers.  </w:t>
      </w:r>
    </w:p>
    <w:p w14:paraId="27B8A1F7" w14:textId="77777777" w:rsidR="004D5455" w:rsidRDefault="004D5455" w:rsidP="004D5455">
      <w:pPr>
        <w:rPr>
          <w:lang w:eastAsia="en-AU"/>
        </w:rPr>
      </w:pPr>
    </w:p>
    <w:p w14:paraId="01FEAE49" w14:textId="774977CC" w:rsidR="00394881" w:rsidRPr="00DD1045" w:rsidRDefault="00394881" w:rsidP="00394881">
      <w:pPr>
        <w:pStyle w:val="ARSub-heading2"/>
        <w:rPr>
          <w:lang w:eastAsia="en-AU"/>
        </w:rPr>
      </w:pPr>
      <w:bookmarkStart w:id="39" w:name="_Toc172009651"/>
      <w:r w:rsidRPr="00DD1045">
        <w:rPr>
          <w:lang w:eastAsia="en-AU"/>
        </w:rPr>
        <w:t xml:space="preserve">David Heley </w:t>
      </w:r>
      <w:r w:rsidR="00D179B5">
        <w:rPr>
          <w:lang w:eastAsia="en-AU"/>
        </w:rPr>
        <w:t>–</w:t>
      </w:r>
      <w:r w:rsidRPr="00DD1045">
        <w:rPr>
          <w:lang w:eastAsia="en-AU"/>
        </w:rPr>
        <w:t xml:space="preserve"> </w:t>
      </w:r>
      <w:r w:rsidR="0060762F">
        <w:rPr>
          <w:lang w:eastAsia="en-AU"/>
        </w:rPr>
        <w:t>Deputy</w:t>
      </w:r>
      <w:r w:rsidR="0060762F" w:rsidRPr="00DD1045">
        <w:rPr>
          <w:lang w:eastAsia="en-AU"/>
        </w:rPr>
        <w:t xml:space="preserve"> </w:t>
      </w:r>
      <w:r w:rsidRPr="00DD1045">
        <w:rPr>
          <w:lang w:eastAsia="en-AU"/>
        </w:rPr>
        <w:t>Chief Executive Officer</w:t>
      </w:r>
      <w:bookmarkEnd w:id="39"/>
    </w:p>
    <w:p w14:paraId="2270CFCF" w14:textId="77777777" w:rsidR="00394881" w:rsidRPr="00DD1045" w:rsidRDefault="00394881" w:rsidP="00394881">
      <w:pPr>
        <w:rPr>
          <w:b/>
          <w:bCs/>
          <w:lang w:eastAsia="en-AU"/>
        </w:rPr>
      </w:pPr>
      <w:r w:rsidRPr="00DD1045">
        <w:rPr>
          <w:b/>
          <w:bCs/>
          <w:lang w:eastAsia="en-AU"/>
        </w:rPr>
        <w:t>BAdmin, FCPA, DFP, AGIA, GAICD</w:t>
      </w:r>
    </w:p>
    <w:p w14:paraId="5CE0EEE6" w14:textId="77777777" w:rsidR="00394881" w:rsidRPr="00DD1045" w:rsidRDefault="00394881" w:rsidP="005C40D1">
      <w:pPr>
        <w:rPr>
          <w:lang w:eastAsia="en-AU"/>
        </w:rPr>
      </w:pPr>
      <w:r w:rsidRPr="00DD1045">
        <w:rPr>
          <w:lang w:eastAsia="en-AU"/>
        </w:rPr>
        <w:t>David has more than 20 years' experience in the finance and insurance sector. As Deputy CEO and CFO, David's focus is on ensuring a strong financial position now and into the future. His group provides corporate and financial strategies to secure WorkCover as Australia's best workers' compensation insurer. David is responsible for all of the company’s financial functions, including accounting, audit, treasury, corporate finance, governance, risk, data and analytics functions that support the business.</w:t>
      </w:r>
    </w:p>
    <w:p w14:paraId="70070F50" w14:textId="77777777" w:rsidR="005C40D1" w:rsidRDefault="005C40D1" w:rsidP="005C40D1"/>
    <w:p w14:paraId="4EA7A959" w14:textId="77777777" w:rsidR="00FA7538" w:rsidRDefault="00FA7538" w:rsidP="005C40D1"/>
    <w:p w14:paraId="2734D9F9" w14:textId="77777777" w:rsidR="00FA7538" w:rsidRDefault="00FA7538" w:rsidP="005C40D1"/>
    <w:p w14:paraId="55B6ABCF" w14:textId="77777777" w:rsidR="00FA7538" w:rsidRPr="00DD1045" w:rsidRDefault="00FA7538" w:rsidP="005C40D1"/>
    <w:p w14:paraId="3712DA5D" w14:textId="58B7B5E1" w:rsidR="00684924" w:rsidRPr="00DD1045" w:rsidRDefault="00684924" w:rsidP="005C40D1">
      <w:pPr>
        <w:pStyle w:val="ARSub-heading2"/>
        <w:rPr>
          <w:lang w:eastAsia="en-AU"/>
        </w:rPr>
      </w:pPr>
      <w:bookmarkStart w:id="40" w:name="_Toc172009652"/>
      <w:r w:rsidRPr="00DD1045">
        <w:rPr>
          <w:lang w:eastAsia="en-AU"/>
        </w:rPr>
        <w:t xml:space="preserve">Janine Reid </w:t>
      </w:r>
      <w:r w:rsidR="00D179B5">
        <w:rPr>
          <w:lang w:eastAsia="en-AU"/>
        </w:rPr>
        <w:t>–</w:t>
      </w:r>
      <w:r w:rsidRPr="00DD1045">
        <w:rPr>
          <w:lang w:eastAsia="en-AU"/>
        </w:rPr>
        <w:t xml:space="preserve"> Chief Legal Officer</w:t>
      </w:r>
      <w:bookmarkEnd w:id="40"/>
    </w:p>
    <w:p w14:paraId="694FEA63" w14:textId="77777777" w:rsidR="00684924" w:rsidRPr="00DD1045" w:rsidRDefault="00684924" w:rsidP="005C40D1">
      <w:pPr>
        <w:rPr>
          <w:b/>
          <w:bCs/>
          <w:lang w:eastAsia="en-AU"/>
        </w:rPr>
      </w:pPr>
      <w:r w:rsidRPr="00DD1045">
        <w:rPr>
          <w:b/>
          <w:bCs/>
          <w:lang w:eastAsia="en-AU"/>
        </w:rPr>
        <w:t>BLaws, MBA, GIA (Cert), GAICD</w:t>
      </w:r>
    </w:p>
    <w:p w14:paraId="013722BA" w14:textId="7553B458" w:rsidR="00E64CF8" w:rsidRPr="00DD1045" w:rsidRDefault="00684924" w:rsidP="005C40D1">
      <w:pPr>
        <w:rPr>
          <w:lang w:eastAsia="en-AU"/>
        </w:rPr>
      </w:pPr>
      <w:r w:rsidRPr="00DD1045">
        <w:rPr>
          <w:lang w:eastAsia="en-AU"/>
        </w:rPr>
        <w:t>Janine has worked in personal injuries for over 20 years. Her knowledge and experience in personal injuries support her ability to manage our common law strategy and legal panel. She is also responsible for providing legal advice and strategy to the business, the WorkCover Board and engaging with external stakeholders. Janine is also the company secretary.</w:t>
      </w:r>
    </w:p>
    <w:p w14:paraId="022C16ED" w14:textId="77777777" w:rsidR="005C40D1" w:rsidRPr="00DD1045" w:rsidRDefault="005C40D1" w:rsidP="005C40D1"/>
    <w:p w14:paraId="24F9AE9B" w14:textId="4701EAAB" w:rsidR="00684924" w:rsidRPr="00DD1045" w:rsidRDefault="00684924" w:rsidP="005C40D1">
      <w:pPr>
        <w:pStyle w:val="ARSub-heading2"/>
        <w:rPr>
          <w:lang w:eastAsia="en-AU"/>
        </w:rPr>
      </w:pPr>
      <w:bookmarkStart w:id="41" w:name="_Toc172009653"/>
      <w:r w:rsidRPr="00DD1045">
        <w:rPr>
          <w:lang w:eastAsia="en-AU"/>
        </w:rPr>
        <w:t xml:space="preserve">Emma Wright </w:t>
      </w:r>
      <w:r w:rsidR="00D179B5">
        <w:rPr>
          <w:lang w:eastAsia="en-AU"/>
        </w:rPr>
        <w:t>–</w:t>
      </w:r>
      <w:r w:rsidRPr="00DD1045">
        <w:rPr>
          <w:lang w:eastAsia="en-AU"/>
        </w:rPr>
        <w:t xml:space="preserve"> Chief People Officer</w:t>
      </w:r>
      <w:bookmarkEnd w:id="41"/>
    </w:p>
    <w:p w14:paraId="19AC420F" w14:textId="77777777" w:rsidR="00684924" w:rsidRPr="00DD1045" w:rsidRDefault="00684924" w:rsidP="005C40D1">
      <w:pPr>
        <w:rPr>
          <w:b/>
          <w:bCs/>
          <w:lang w:eastAsia="en-AU"/>
        </w:rPr>
      </w:pPr>
      <w:r w:rsidRPr="00DD1045">
        <w:rPr>
          <w:b/>
          <w:bCs/>
          <w:lang w:eastAsia="en-AU"/>
        </w:rPr>
        <w:t>BBusHRM, MOrgDevHRM</w:t>
      </w:r>
    </w:p>
    <w:p w14:paraId="006EF373" w14:textId="77777777" w:rsidR="00684924" w:rsidRDefault="00684924" w:rsidP="005C40D1">
      <w:pPr>
        <w:rPr>
          <w:lang w:eastAsia="en-AU"/>
        </w:rPr>
      </w:pPr>
      <w:r w:rsidRPr="00DD1045">
        <w:rPr>
          <w:lang w:eastAsia="en-AU"/>
        </w:rPr>
        <w:t>Emma is a trusted, authentic leader who displays personal commitment and inspires others, leading with a vision that values people. With over 13 years’ experience in corporate services and human resources within the utilities and insurance industries, she builds and leads high performing and diverse teams with a strong focus on culture and employee experience. As Chief People Officer, Emma leads the People Group, a team that is driven to transform WorkCover into a contemporary organisation that’s highly adaptive for the future of work.</w:t>
      </w:r>
    </w:p>
    <w:p w14:paraId="3E80EA89" w14:textId="77777777" w:rsidR="00D222A4" w:rsidRDefault="00D222A4" w:rsidP="005C40D1">
      <w:pPr>
        <w:rPr>
          <w:lang w:eastAsia="en-AU"/>
        </w:rPr>
      </w:pPr>
    </w:p>
    <w:p w14:paraId="5F441077" w14:textId="77777777" w:rsidR="00FA7538" w:rsidRDefault="00FA7538" w:rsidP="005C40D1">
      <w:pPr>
        <w:rPr>
          <w:lang w:eastAsia="en-AU"/>
        </w:rPr>
      </w:pPr>
    </w:p>
    <w:p w14:paraId="2C613EB9" w14:textId="77777777" w:rsidR="00FA7538" w:rsidRDefault="00FA7538" w:rsidP="005C40D1">
      <w:pPr>
        <w:rPr>
          <w:lang w:eastAsia="en-AU"/>
        </w:rPr>
      </w:pPr>
    </w:p>
    <w:p w14:paraId="4B5331D1" w14:textId="77777777" w:rsidR="00FA7538" w:rsidRDefault="00FA7538" w:rsidP="005C40D1">
      <w:pPr>
        <w:rPr>
          <w:lang w:eastAsia="en-AU"/>
        </w:rPr>
      </w:pPr>
    </w:p>
    <w:p w14:paraId="2C121DA0" w14:textId="77777777" w:rsidR="00FA7538" w:rsidRDefault="00FA7538" w:rsidP="005C40D1">
      <w:pPr>
        <w:rPr>
          <w:lang w:eastAsia="en-AU"/>
        </w:rPr>
      </w:pPr>
    </w:p>
    <w:p w14:paraId="025B3B78" w14:textId="77777777" w:rsidR="00FA7538" w:rsidRDefault="00FA7538" w:rsidP="005C40D1">
      <w:pPr>
        <w:rPr>
          <w:lang w:eastAsia="en-AU"/>
        </w:rPr>
      </w:pPr>
    </w:p>
    <w:p w14:paraId="0765F16D" w14:textId="77777777" w:rsidR="00FA7538" w:rsidRDefault="00FA7538" w:rsidP="005C40D1">
      <w:pPr>
        <w:rPr>
          <w:lang w:eastAsia="en-AU"/>
        </w:rPr>
      </w:pPr>
    </w:p>
    <w:p w14:paraId="796219E1" w14:textId="77777777" w:rsidR="00FA7538" w:rsidRDefault="00FA7538" w:rsidP="005C40D1">
      <w:pPr>
        <w:rPr>
          <w:lang w:eastAsia="en-AU"/>
        </w:rPr>
      </w:pPr>
    </w:p>
    <w:p w14:paraId="1D03EDA8" w14:textId="77777777" w:rsidR="00FA7538" w:rsidRDefault="00FA7538" w:rsidP="005C40D1">
      <w:pPr>
        <w:rPr>
          <w:lang w:eastAsia="en-AU"/>
        </w:rPr>
      </w:pPr>
    </w:p>
    <w:p w14:paraId="2934F36C" w14:textId="737BF824" w:rsidR="00684924" w:rsidRPr="00DD1045" w:rsidRDefault="00684924" w:rsidP="005C40D1">
      <w:pPr>
        <w:pStyle w:val="ARSub-heading2"/>
        <w:rPr>
          <w:lang w:eastAsia="en-AU"/>
        </w:rPr>
      </w:pPr>
      <w:bookmarkStart w:id="42" w:name="_Toc172009654"/>
      <w:r w:rsidRPr="00DD1045">
        <w:rPr>
          <w:lang w:eastAsia="en-AU"/>
        </w:rPr>
        <w:lastRenderedPageBreak/>
        <w:t xml:space="preserve">Barbara Martin </w:t>
      </w:r>
      <w:r w:rsidR="00D179B5">
        <w:rPr>
          <w:lang w:eastAsia="en-AU"/>
        </w:rPr>
        <w:t>–</w:t>
      </w:r>
      <w:r w:rsidRPr="00DD1045">
        <w:rPr>
          <w:lang w:eastAsia="en-AU"/>
        </w:rPr>
        <w:t xml:space="preserve"> Chief New Claims Officer</w:t>
      </w:r>
      <w:bookmarkEnd w:id="42"/>
    </w:p>
    <w:p w14:paraId="6F6B3CAA" w14:textId="77777777" w:rsidR="00684924" w:rsidRPr="00DD1045" w:rsidRDefault="00684924" w:rsidP="005C40D1">
      <w:pPr>
        <w:rPr>
          <w:b/>
          <w:bCs/>
          <w:lang w:eastAsia="en-AU"/>
        </w:rPr>
      </w:pPr>
      <w:r w:rsidRPr="00DD1045">
        <w:rPr>
          <w:b/>
          <w:bCs/>
          <w:lang w:eastAsia="en-AU"/>
        </w:rPr>
        <w:t>BBehSc, MRehabCounsel</w:t>
      </w:r>
    </w:p>
    <w:p w14:paraId="00033C13" w14:textId="48980700" w:rsidR="00684924" w:rsidRPr="00DD1045" w:rsidRDefault="00684924" w:rsidP="005C40D1">
      <w:pPr>
        <w:rPr>
          <w:lang w:eastAsia="en-AU"/>
        </w:rPr>
      </w:pPr>
      <w:r w:rsidRPr="00DD1045">
        <w:rPr>
          <w:lang w:eastAsia="en-AU"/>
        </w:rPr>
        <w:t xml:space="preserve">Barb is an accomplished Executive Leader and industry expert with over 20 years’ experience in claims management. As Chief New Claims Officer, Barb’s focus is on improving the registration, </w:t>
      </w:r>
      <w:r w:rsidR="00CE3F65" w:rsidRPr="00DD1045">
        <w:rPr>
          <w:lang w:eastAsia="en-AU"/>
        </w:rPr>
        <w:t>determination,</w:t>
      </w:r>
      <w:r w:rsidRPr="00DD1045">
        <w:rPr>
          <w:lang w:eastAsia="en-AU"/>
        </w:rPr>
        <w:t xml:space="preserve"> and onboarding of customers as they start their claims journey with us. She is dedicated to supporting innovative ideas and streamlining processes to allow her teams to deliver high quality</w:t>
      </w:r>
      <w:r w:rsidR="00B93BEC" w:rsidRPr="00DD1045">
        <w:rPr>
          <w:lang w:eastAsia="en-AU"/>
        </w:rPr>
        <w:t xml:space="preserve"> </w:t>
      </w:r>
      <w:r w:rsidRPr="00DD1045">
        <w:rPr>
          <w:lang w:eastAsia="en-AU"/>
        </w:rPr>
        <w:t>and efficient services. Barb is passionate about supporting people to develop and achieve their best in a performance and customer focused culture.</w:t>
      </w:r>
    </w:p>
    <w:p w14:paraId="4B959DA4" w14:textId="77777777" w:rsidR="005C40D1" w:rsidRPr="00DD1045" w:rsidRDefault="005C40D1" w:rsidP="005C40D1">
      <w:pPr>
        <w:rPr>
          <w:lang w:eastAsia="en-AU"/>
        </w:rPr>
      </w:pPr>
    </w:p>
    <w:p w14:paraId="7D9A6B8D" w14:textId="7116E50F" w:rsidR="00684924" w:rsidRPr="00DD1045" w:rsidRDefault="00684924" w:rsidP="005C40D1">
      <w:pPr>
        <w:pStyle w:val="ARSub-heading2"/>
        <w:rPr>
          <w:lang w:eastAsia="en-AU"/>
        </w:rPr>
      </w:pPr>
      <w:bookmarkStart w:id="43" w:name="_Toc172009655"/>
      <w:r w:rsidRPr="00DD1045">
        <w:rPr>
          <w:lang w:eastAsia="en-AU"/>
        </w:rPr>
        <w:t xml:space="preserve">Leah Plimmer </w:t>
      </w:r>
      <w:r w:rsidR="00D179B5">
        <w:rPr>
          <w:lang w:eastAsia="en-AU"/>
        </w:rPr>
        <w:t>–</w:t>
      </w:r>
      <w:r w:rsidRPr="00DD1045">
        <w:rPr>
          <w:lang w:eastAsia="en-AU"/>
        </w:rPr>
        <w:t xml:space="preserve"> Chief Claims Management Officer</w:t>
      </w:r>
      <w:bookmarkEnd w:id="43"/>
    </w:p>
    <w:p w14:paraId="253DFE27" w14:textId="55FFB8DF" w:rsidR="00B93BEC" w:rsidRDefault="00684924" w:rsidP="00B93BEC">
      <w:pPr>
        <w:rPr>
          <w:lang w:eastAsia="en-AU"/>
        </w:rPr>
      </w:pPr>
      <w:r w:rsidRPr="00DD1045">
        <w:rPr>
          <w:lang w:eastAsia="en-AU"/>
        </w:rPr>
        <w:t xml:space="preserve">Leah is a </w:t>
      </w:r>
      <w:r w:rsidR="00CE3F65" w:rsidRPr="00DD1045">
        <w:rPr>
          <w:lang w:eastAsia="en-AU"/>
        </w:rPr>
        <w:t>highly regarded</w:t>
      </w:r>
      <w:r w:rsidRPr="00DD1045">
        <w:rPr>
          <w:lang w:eastAsia="en-AU"/>
        </w:rPr>
        <w:t xml:space="preserve"> insurance executive with extensive experience in life insurance and superannuation claims spanning more than 30 years. Leah has previously held roles at Commonwealth Bank’s CommInsure division and with Australian Retirement Trust. Leah brings to her role of Chief Claims Management Officer a broad skillset in claims management, underwriting, </w:t>
      </w:r>
      <w:r w:rsidR="00CE3F65" w:rsidRPr="00DD1045">
        <w:rPr>
          <w:lang w:eastAsia="en-AU"/>
        </w:rPr>
        <w:t>operations,</w:t>
      </w:r>
      <w:r w:rsidRPr="00DD1045">
        <w:rPr>
          <w:lang w:eastAsia="en-AU"/>
        </w:rPr>
        <w:t xml:space="preserve"> and risk management and is committed to making a positive difference to our customers. A passionate leader, Leah loves to create stimulating, innovative and dynamic environments and driving positive culture and engagement with her team and the broader organisation.</w:t>
      </w:r>
    </w:p>
    <w:p w14:paraId="6D6DDC8C" w14:textId="77777777" w:rsidR="00FA7538" w:rsidRDefault="00FA7538" w:rsidP="00B93BEC">
      <w:pPr>
        <w:rPr>
          <w:lang w:eastAsia="en-AU"/>
        </w:rPr>
      </w:pPr>
    </w:p>
    <w:p w14:paraId="7A2819A3" w14:textId="77777777" w:rsidR="00FA7538" w:rsidRDefault="00FA7538" w:rsidP="00B93BEC">
      <w:pPr>
        <w:rPr>
          <w:lang w:eastAsia="en-AU"/>
        </w:rPr>
      </w:pPr>
    </w:p>
    <w:p w14:paraId="661FB50B" w14:textId="0C869B34" w:rsidR="005C40D1" w:rsidRPr="00DD1045" w:rsidRDefault="005C40D1" w:rsidP="005C40D1">
      <w:pPr>
        <w:pStyle w:val="ARSub-heading2"/>
        <w:rPr>
          <w:lang w:eastAsia="en-AU"/>
        </w:rPr>
      </w:pPr>
      <w:bookmarkStart w:id="44" w:name="_Toc172009656"/>
      <w:r w:rsidRPr="00DD1045">
        <w:rPr>
          <w:lang w:eastAsia="en-AU"/>
        </w:rPr>
        <w:t xml:space="preserve">Angela Jones </w:t>
      </w:r>
      <w:r w:rsidR="00D179B5">
        <w:rPr>
          <w:lang w:eastAsia="en-AU"/>
        </w:rPr>
        <w:t>–</w:t>
      </w:r>
      <w:r w:rsidRPr="00DD1045">
        <w:rPr>
          <w:lang w:eastAsia="en-AU"/>
        </w:rPr>
        <w:t xml:space="preserve"> Chief Digital</w:t>
      </w:r>
      <w:r w:rsidR="00980B3C">
        <w:rPr>
          <w:lang w:eastAsia="en-AU"/>
        </w:rPr>
        <w:t xml:space="preserve"> and</w:t>
      </w:r>
      <w:r w:rsidRPr="00DD1045">
        <w:rPr>
          <w:lang w:eastAsia="en-AU"/>
        </w:rPr>
        <w:t xml:space="preserve"> Information Officer</w:t>
      </w:r>
      <w:bookmarkEnd w:id="44"/>
    </w:p>
    <w:p w14:paraId="69714E8B" w14:textId="77777777" w:rsidR="005C40D1" w:rsidRPr="00DD1045" w:rsidRDefault="005C40D1" w:rsidP="005C40D1">
      <w:pPr>
        <w:rPr>
          <w:b/>
          <w:bCs/>
          <w:lang w:eastAsia="en-AU"/>
        </w:rPr>
      </w:pPr>
      <w:r w:rsidRPr="00DD1045">
        <w:rPr>
          <w:b/>
          <w:bCs/>
          <w:lang w:eastAsia="en-AU"/>
        </w:rPr>
        <w:t>BBus InfoMgt, maj: compscience, GAICD</w:t>
      </w:r>
    </w:p>
    <w:p w14:paraId="3ADF2BBF" w14:textId="77777777" w:rsidR="005C40D1" w:rsidRPr="00DD1045" w:rsidRDefault="005C40D1" w:rsidP="005C40D1">
      <w:pPr>
        <w:rPr>
          <w:lang w:eastAsia="en-AU"/>
        </w:rPr>
      </w:pPr>
      <w:r w:rsidRPr="00DD1045">
        <w:rPr>
          <w:lang w:eastAsia="en-AU"/>
        </w:rPr>
        <w:t>Angela is an experienced IT and digital executive who specialises in developing enterprise strategy, operating model design and digital and business transformation. Since beginning her career as a technical specialist, Angela has spent the past 20+ years in strategic business advisory and senior leadership roles in both the public and private sectors. Angela is passionate about building high performing teams by integrating business and technology teams together to deliver on enterprise strategic goals. She is a graduate and member of the Chief Executive Women's Program.</w:t>
      </w:r>
    </w:p>
    <w:p w14:paraId="04DECC8D" w14:textId="77777777" w:rsidR="00B93BEC" w:rsidRPr="00DD1045" w:rsidRDefault="00B93BEC" w:rsidP="005C40D1">
      <w:pPr>
        <w:rPr>
          <w:lang w:eastAsia="en-AU"/>
        </w:rPr>
      </w:pPr>
    </w:p>
    <w:p w14:paraId="75751E08" w14:textId="6997C8FB" w:rsidR="005C40D1" w:rsidRPr="00DD1045" w:rsidRDefault="005C40D1" w:rsidP="005C40D1">
      <w:pPr>
        <w:pStyle w:val="ARSub-heading2"/>
        <w:rPr>
          <w:lang w:eastAsia="en-AU"/>
        </w:rPr>
      </w:pPr>
      <w:bookmarkStart w:id="45" w:name="_Toc172009657"/>
      <w:r w:rsidRPr="00DD1045">
        <w:rPr>
          <w:lang w:eastAsia="en-AU"/>
        </w:rPr>
        <w:t xml:space="preserve">Marc Dennett </w:t>
      </w:r>
      <w:r w:rsidR="00D179B5">
        <w:rPr>
          <w:lang w:eastAsia="en-AU"/>
        </w:rPr>
        <w:t>–</w:t>
      </w:r>
      <w:r w:rsidRPr="00DD1045">
        <w:rPr>
          <w:lang w:eastAsia="en-AU"/>
        </w:rPr>
        <w:t xml:space="preserve"> Chief Partnerships and Relationships Officer</w:t>
      </w:r>
      <w:bookmarkEnd w:id="45"/>
    </w:p>
    <w:p w14:paraId="290E203A" w14:textId="77777777" w:rsidR="005C40D1" w:rsidRPr="00DD1045" w:rsidRDefault="005C40D1" w:rsidP="005C40D1">
      <w:pPr>
        <w:rPr>
          <w:b/>
          <w:bCs/>
          <w:lang w:eastAsia="en-AU"/>
        </w:rPr>
      </w:pPr>
      <w:r w:rsidRPr="00DD1045">
        <w:rPr>
          <w:b/>
          <w:bCs/>
          <w:lang w:eastAsia="en-AU"/>
        </w:rPr>
        <w:t>MBA, GradDipMgt, GradCertBus</w:t>
      </w:r>
    </w:p>
    <w:p w14:paraId="1DF72CB6" w14:textId="77777777" w:rsidR="005C40D1" w:rsidRPr="00DD1045" w:rsidRDefault="005C40D1" w:rsidP="005C40D1">
      <w:pPr>
        <w:rPr>
          <w:lang w:eastAsia="en-AU"/>
        </w:rPr>
      </w:pPr>
      <w:r w:rsidRPr="00DD1045">
        <w:rPr>
          <w:lang w:eastAsia="en-AU"/>
        </w:rPr>
        <w:t>Marc has more than 20 years’ experience in injury management and prevention. He has previously held senior roles at WorkCover Queensland, the Office of Industrial Relations and was previously the Queensland member of the Heads of WorkSafe Authorities. Marc leads the Partnerships and Relationships Group, focusing on building trusted networks, engaging our stakeholders and industry associations to help support and deliver strategic and sustainable outcomes for our customers.</w:t>
      </w:r>
    </w:p>
    <w:p w14:paraId="5B4F59A5" w14:textId="77777777" w:rsidR="00FC0319" w:rsidRDefault="00FC0319" w:rsidP="00684924">
      <w:pPr>
        <w:shd w:val="clear" w:color="auto" w:fill="FFFFFF"/>
        <w:spacing w:after="0" w:line="240" w:lineRule="auto"/>
        <w:rPr>
          <w:rFonts w:ascii="Nunito Sans" w:eastAsia="Times New Roman" w:hAnsi="Nunito Sans" w:cs="Times New Roman"/>
          <w:color w:val="202020"/>
          <w:kern w:val="0"/>
          <w:sz w:val="24"/>
          <w:szCs w:val="24"/>
          <w:lang w:eastAsia="en-AU"/>
          <w14:ligatures w14:val="none"/>
        </w:rPr>
      </w:pPr>
    </w:p>
    <w:p w14:paraId="6DF2286F" w14:textId="77777777" w:rsidR="00493D26" w:rsidRDefault="00493D26" w:rsidP="00684924">
      <w:pPr>
        <w:shd w:val="clear" w:color="auto" w:fill="FFFFFF"/>
        <w:spacing w:after="0" w:line="240" w:lineRule="auto"/>
        <w:rPr>
          <w:rFonts w:ascii="Nunito Sans" w:eastAsia="Times New Roman" w:hAnsi="Nunito Sans" w:cs="Times New Roman"/>
          <w:color w:val="202020"/>
          <w:kern w:val="0"/>
          <w:sz w:val="24"/>
          <w:szCs w:val="24"/>
          <w:lang w:eastAsia="en-AU"/>
          <w14:ligatures w14:val="none"/>
        </w:rPr>
      </w:pPr>
    </w:p>
    <w:p w14:paraId="2ECCC49E" w14:textId="77777777" w:rsidR="00493D26" w:rsidRDefault="00493D26" w:rsidP="00684924">
      <w:pPr>
        <w:shd w:val="clear" w:color="auto" w:fill="FFFFFF"/>
        <w:spacing w:after="0" w:line="240" w:lineRule="auto"/>
        <w:rPr>
          <w:rFonts w:ascii="Nunito Sans" w:eastAsia="Times New Roman" w:hAnsi="Nunito Sans" w:cs="Times New Roman"/>
          <w:color w:val="202020"/>
          <w:kern w:val="0"/>
          <w:sz w:val="24"/>
          <w:szCs w:val="24"/>
          <w:lang w:eastAsia="en-AU"/>
          <w14:ligatures w14:val="none"/>
        </w:rPr>
        <w:sectPr w:rsidR="00493D26" w:rsidSect="00FC0319">
          <w:type w:val="continuous"/>
          <w:pgSz w:w="11906" w:h="16838"/>
          <w:pgMar w:top="1440" w:right="1440" w:bottom="1440" w:left="1440" w:header="708" w:footer="708" w:gutter="0"/>
          <w:cols w:num="2" w:space="708"/>
          <w:docGrid w:linePitch="360"/>
        </w:sectPr>
      </w:pPr>
    </w:p>
    <w:p w14:paraId="62ADAA97" w14:textId="77777777" w:rsidR="005C40D1" w:rsidRPr="00DD1045" w:rsidRDefault="005C40D1" w:rsidP="00684924">
      <w:pPr>
        <w:shd w:val="clear" w:color="auto" w:fill="FFFFFF"/>
        <w:spacing w:after="0" w:line="240" w:lineRule="auto"/>
        <w:rPr>
          <w:rFonts w:ascii="Nunito Sans" w:eastAsia="Times New Roman" w:hAnsi="Nunito Sans" w:cs="Times New Roman"/>
          <w:color w:val="202020"/>
          <w:kern w:val="0"/>
          <w:sz w:val="24"/>
          <w:szCs w:val="24"/>
          <w:lang w:eastAsia="en-AU"/>
          <w14:ligatures w14:val="none"/>
        </w:rPr>
      </w:pPr>
    </w:p>
    <w:p w14:paraId="16D11554" w14:textId="77777777" w:rsidR="002B7388" w:rsidRPr="00DD1045" w:rsidRDefault="002B7388" w:rsidP="002E4A02"/>
    <w:p w14:paraId="17347CA3" w14:textId="77777777" w:rsidR="009B50DE" w:rsidRDefault="009B50DE" w:rsidP="002E4A02">
      <w:pPr>
        <w:sectPr w:rsidR="009B50DE" w:rsidSect="009B50DE">
          <w:type w:val="continuous"/>
          <w:pgSz w:w="11906" w:h="16838"/>
          <w:pgMar w:top="1440" w:right="1440" w:bottom="1440" w:left="1440" w:header="708" w:footer="708" w:gutter="0"/>
          <w:cols w:space="708"/>
          <w:docGrid w:linePitch="360"/>
        </w:sectPr>
      </w:pPr>
    </w:p>
    <w:p w14:paraId="095C59A0" w14:textId="77777777" w:rsidR="00762F9B" w:rsidRPr="00DD1045" w:rsidRDefault="00762F9B" w:rsidP="002E4A02"/>
    <w:p w14:paraId="76BC5D7D" w14:textId="77777777" w:rsidR="002E4A02" w:rsidRPr="00DD1045" w:rsidRDefault="002E4A02">
      <w:r w:rsidRPr="00DD1045">
        <w:br w:type="page"/>
      </w:r>
    </w:p>
    <w:p w14:paraId="0FB038F4" w14:textId="62050C79" w:rsidR="002E4A02" w:rsidRPr="00DD1045" w:rsidRDefault="002E4A02" w:rsidP="002E4A02">
      <w:pPr>
        <w:pStyle w:val="ARMainTitle"/>
        <w:pBdr>
          <w:bottom w:val="single" w:sz="4" w:space="1" w:color="auto"/>
        </w:pBdr>
      </w:pPr>
      <w:bookmarkStart w:id="46" w:name="_Toc172009658"/>
      <w:r w:rsidRPr="00DD1045">
        <w:lastRenderedPageBreak/>
        <w:t>Highlights</w:t>
      </w:r>
      <w:bookmarkEnd w:id="46"/>
    </w:p>
    <w:p w14:paraId="4D7D784A" w14:textId="0C157437" w:rsidR="002255D8" w:rsidRPr="00DD1045" w:rsidRDefault="002255D8" w:rsidP="002255D8">
      <w:pPr>
        <w:pStyle w:val="ARHeading1"/>
      </w:pPr>
      <w:bookmarkStart w:id="47" w:name="_Toc172009659"/>
      <w:r w:rsidRPr="00DD1045">
        <w:t>Our organisation</w:t>
      </w:r>
      <w:bookmarkEnd w:id="4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2255D8" w:rsidRPr="00DD1045" w14:paraId="0298851B" w14:textId="77777777" w:rsidTr="00E34DDE">
        <w:tc>
          <w:tcPr>
            <w:tcW w:w="3005" w:type="dxa"/>
            <w:tcBorders>
              <w:bottom w:val="single" w:sz="8" w:space="0" w:color="AEAAAA" w:themeColor="background2" w:themeShade="BF"/>
              <w:right w:val="single" w:sz="8" w:space="0" w:color="AEAAAA" w:themeColor="background2" w:themeShade="BF"/>
            </w:tcBorders>
          </w:tcPr>
          <w:p w14:paraId="65EFE9C2" w14:textId="328B8BB9" w:rsidR="002255D8" w:rsidRPr="00BC41F0" w:rsidRDefault="003B71E1" w:rsidP="002255D8">
            <w:pPr>
              <w:pStyle w:val="ARSub-heading2"/>
            </w:pPr>
            <w:r w:rsidRPr="00BC41F0">
              <w:t>$1.29</w:t>
            </w:r>
          </w:p>
          <w:p w14:paraId="1C23D321" w14:textId="402E2788" w:rsidR="00C12050" w:rsidRPr="00BC41F0" w:rsidRDefault="002255D8" w:rsidP="000002A7">
            <w:r w:rsidRPr="00BC41F0">
              <w:t>average premium rate per $100 of wages</w:t>
            </w:r>
          </w:p>
        </w:tc>
        <w:tc>
          <w:tcPr>
            <w:tcW w:w="3005" w:type="dxa"/>
            <w:tcBorders>
              <w:left w:val="single" w:sz="8" w:space="0" w:color="AEAAAA" w:themeColor="background2" w:themeShade="BF"/>
              <w:bottom w:val="single" w:sz="8" w:space="0" w:color="AEAAAA" w:themeColor="background2" w:themeShade="BF"/>
              <w:right w:val="single" w:sz="8" w:space="0" w:color="AEAAAA" w:themeColor="background2" w:themeShade="BF"/>
            </w:tcBorders>
          </w:tcPr>
          <w:p w14:paraId="1713C935" w14:textId="6308AEBD" w:rsidR="000A5E96" w:rsidRPr="00BC41F0" w:rsidRDefault="002B0956" w:rsidP="000A5E96">
            <w:pPr>
              <w:pStyle w:val="ARSub-heading2"/>
            </w:pPr>
            <w:bookmarkStart w:id="48" w:name="_Toc172009661"/>
            <w:r w:rsidRPr="00BC41F0">
              <w:t>$</w:t>
            </w:r>
            <w:bookmarkEnd w:id="48"/>
            <w:r w:rsidR="008A79BD" w:rsidRPr="00BC41F0">
              <w:t>6.</w:t>
            </w:r>
            <w:r w:rsidR="00727AE6" w:rsidRPr="00BC41F0">
              <w:t>436B</w:t>
            </w:r>
          </w:p>
          <w:p w14:paraId="2567487F" w14:textId="096C89CA" w:rsidR="002255D8" w:rsidRPr="00BC41F0" w:rsidRDefault="000A5E96" w:rsidP="002B0956">
            <w:r w:rsidRPr="00BC41F0">
              <w:t>f</w:t>
            </w:r>
            <w:r w:rsidR="002B0956" w:rsidRPr="00BC41F0">
              <w:t>unds under management</w:t>
            </w:r>
          </w:p>
        </w:tc>
        <w:tc>
          <w:tcPr>
            <w:tcW w:w="3006" w:type="dxa"/>
            <w:tcBorders>
              <w:left w:val="single" w:sz="8" w:space="0" w:color="AEAAAA" w:themeColor="background2" w:themeShade="BF"/>
              <w:bottom w:val="single" w:sz="8" w:space="0" w:color="AEAAAA" w:themeColor="background2" w:themeShade="BF"/>
            </w:tcBorders>
          </w:tcPr>
          <w:p w14:paraId="31A3AB7B" w14:textId="7C66912F" w:rsidR="000A5E96" w:rsidRPr="00BC41F0" w:rsidRDefault="00FF38A7" w:rsidP="000A5E96">
            <w:pPr>
              <w:pStyle w:val="ARSub-heading2"/>
            </w:pPr>
            <w:r w:rsidRPr="00BC41F0">
              <w:rPr>
                <w:rStyle w:val="ui-provider"/>
              </w:rPr>
              <w:t>312,767</w:t>
            </w:r>
          </w:p>
          <w:p w14:paraId="0654E9C3" w14:textId="40E985EE" w:rsidR="002255D8" w:rsidRPr="00BC41F0" w:rsidRDefault="002B0956" w:rsidP="002B0956">
            <w:r w:rsidRPr="00BC41F0">
              <w:t>customer calls to our contact centre</w:t>
            </w:r>
          </w:p>
        </w:tc>
      </w:tr>
      <w:tr w:rsidR="002255D8" w:rsidRPr="00DD1045" w14:paraId="5703DFFA" w14:textId="77777777" w:rsidTr="00E34DDE">
        <w:tc>
          <w:tcPr>
            <w:tcW w:w="3005" w:type="dxa"/>
            <w:tcBorders>
              <w:top w:val="single" w:sz="8" w:space="0" w:color="AEAAAA" w:themeColor="background2" w:themeShade="BF"/>
              <w:right w:val="single" w:sz="8" w:space="0" w:color="AEAAAA" w:themeColor="background2" w:themeShade="BF"/>
            </w:tcBorders>
          </w:tcPr>
          <w:p w14:paraId="4D3FBC9F" w14:textId="17325132" w:rsidR="000A5E96" w:rsidRPr="00BC41F0" w:rsidRDefault="00DD76AA" w:rsidP="000A5E96">
            <w:pPr>
              <w:pStyle w:val="ARSub-heading2"/>
            </w:pPr>
            <w:r w:rsidRPr="00BC41F0">
              <w:t>89%</w:t>
            </w:r>
          </w:p>
          <w:p w14:paraId="3037172E" w14:textId="16EF7774" w:rsidR="002255D8" w:rsidRPr="00BC41F0" w:rsidRDefault="00BD2FFA" w:rsidP="002B0956">
            <w:r w:rsidRPr="00BC41F0">
              <w:t>people survey response rate</w:t>
            </w:r>
          </w:p>
        </w:tc>
        <w:tc>
          <w:tcPr>
            <w:tcW w:w="3005" w:type="dxa"/>
            <w:tcBorders>
              <w:top w:val="single" w:sz="8" w:space="0" w:color="AEAAAA" w:themeColor="background2" w:themeShade="BF"/>
              <w:left w:val="single" w:sz="8" w:space="0" w:color="AEAAAA" w:themeColor="background2" w:themeShade="BF"/>
              <w:right w:val="single" w:sz="8" w:space="0" w:color="AEAAAA" w:themeColor="background2" w:themeShade="BF"/>
            </w:tcBorders>
          </w:tcPr>
          <w:p w14:paraId="7A287CCD" w14:textId="1A28B220" w:rsidR="000A5E96" w:rsidRPr="00BC41F0" w:rsidRDefault="00C04E4C" w:rsidP="000A5E96">
            <w:pPr>
              <w:pStyle w:val="ARSub-heading2"/>
            </w:pPr>
            <w:r w:rsidRPr="00BC41F0">
              <w:t>10,219</w:t>
            </w:r>
          </w:p>
          <w:p w14:paraId="4C81064C" w14:textId="0001FC29" w:rsidR="00C12050" w:rsidRPr="00BC41F0" w:rsidRDefault="00C04E4C" w:rsidP="000002A7">
            <w:r w:rsidRPr="00BC41F0">
              <w:t xml:space="preserve">referrals to return to work </w:t>
            </w:r>
            <w:r w:rsidR="002B0956" w:rsidRPr="00BC41F0">
              <w:t>provider</w:t>
            </w:r>
            <w:r w:rsidR="000A5E96" w:rsidRPr="00BC41F0">
              <w:t>s</w:t>
            </w:r>
            <w:r w:rsidR="002B0956" w:rsidRPr="00BC41F0">
              <w:t xml:space="preserve"> </w:t>
            </w:r>
          </w:p>
        </w:tc>
        <w:tc>
          <w:tcPr>
            <w:tcW w:w="3006" w:type="dxa"/>
            <w:tcBorders>
              <w:top w:val="single" w:sz="8" w:space="0" w:color="AEAAAA" w:themeColor="background2" w:themeShade="BF"/>
              <w:left w:val="single" w:sz="8" w:space="0" w:color="AEAAAA" w:themeColor="background2" w:themeShade="BF"/>
            </w:tcBorders>
          </w:tcPr>
          <w:p w14:paraId="492C6CE7" w14:textId="790C227E" w:rsidR="000A5E96" w:rsidRPr="00BC41F0" w:rsidRDefault="00985719" w:rsidP="000A5E96">
            <w:pPr>
              <w:pStyle w:val="ARSub-heading2"/>
            </w:pPr>
            <w:bookmarkStart w:id="49" w:name="_Toc172009665"/>
            <w:r w:rsidRPr="00BC41F0">
              <w:t>68</w:t>
            </w:r>
            <w:r w:rsidR="002B0956" w:rsidRPr="00BC41F0">
              <w:t>%</w:t>
            </w:r>
            <w:bookmarkEnd w:id="49"/>
          </w:p>
          <w:p w14:paraId="0CDB6023" w14:textId="7E48C7F8" w:rsidR="002255D8" w:rsidRPr="00BC41F0" w:rsidRDefault="002B0956" w:rsidP="002B0956">
            <w:r w:rsidRPr="00BC41F0">
              <w:t>employee engagement score</w:t>
            </w:r>
          </w:p>
        </w:tc>
      </w:tr>
    </w:tbl>
    <w:p w14:paraId="6FD8FA32" w14:textId="77777777" w:rsidR="002255D8" w:rsidRPr="00DD1045" w:rsidRDefault="002255D8" w:rsidP="002E4A02"/>
    <w:p w14:paraId="01DBF298" w14:textId="557C759D" w:rsidR="002255D8" w:rsidRPr="00DD1045" w:rsidRDefault="00757DFA" w:rsidP="002255D8">
      <w:pPr>
        <w:pStyle w:val="ARHeading1"/>
      </w:pPr>
      <w:bookmarkStart w:id="50" w:name="_Toc172009666"/>
      <w:r>
        <w:t>For</w:t>
      </w:r>
      <w:r w:rsidR="002255D8" w:rsidRPr="00DD1045">
        <w:t xml:space="preserve"> employers</w:t>
      </w:r>
      <w:bookmarkEnd w:id="5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2255D8" w:rsidRPr="00DD1045" w14:paraId="3835199E" w14:textId="77777777" w:rsidTr="00E34DDE">
        <w:tc>
          <w:tcPr>
            <w:tcW w:w="3005" w:type="dxa"/>
            <w:tcBorders>
              <w:bottom w:val="single" w:sz="8" w:space="0" w:color="AEAAAA" w:themeColor="background2" w:themeShade="BF"/>
              <w:right w:val="single" w:sz="8" w:space="0" w:color="AEAAAA" w:themeColor="background2" w:themeShade="BF"/>
            </w:tcBorders>
          </w:tcPr>
          <w:p w14:paraId="0DA0119D" w14:textId="50C4EFD0" w:rsidR="00C12050" w:rsidRPr="00BC41F0" w:rsidRDefault="009168C9" w:rsidP="00070B6B">
            <w:pPr>
              <w:pStyle w:val="ARSub-heading2"/>
            </w:pPr>
            <w:bookmarkStart w:id="51" w:name="_Toc172009667"/>
            <w:r w:rsidRPr="00BC41F0">
              <w:t>179,024</w:t>
            </w:r>
            <w:bookmarkEnd w:id="51"/>
          </w:p>
          <w:p w14:paraId="1540B361" w14:textId="4555F4E0" w:rsidR="002255D8" w:rsidRPr="00BC41F0" w:rsidRDefault="002B0956" w:rsidP="002B0956">
            <w:r w:rsidRPr="00BC41F0">
              <w:t>employers insured</w:t>
            </w:r>
          </w:p>
        </w:tc>
        <w:tc>
          <w:tcPr>
            <w:tcW w:w="3005" w:type="dxa"/>
            <w:tcBorders>
              <w:left w:val="single" w:sz="8" w:space="0" w:color="AEAAAA" w:themeColor="background2" w:themeShade="BF"/>
              <w:bottom w:val="single" w:sz="8" w:space="0" w:color="AEAAAA" w:themeColor="background2" w:themeShade="BF"/>
              <w:right w:val="single" w:sz="8" w:space="0" w:color="AEAAAA" w:themeColor="background2" w:themeShade="BF"/>
            </w:tcBorders>
          </w:tcPr>
          <w:p w14:paraId="45BACD18" w14:textId="1CC14825" w:rsidR="00C12050" w:rsidRPr="00BC41F0" w:rsidRDefault="002B0956" w:rsidP="00C12050">
            <w:pPr>
              <w:pStyle w:val="ARSub-heading2"/>
            </w:pPr>
            <w:bookmarkStart w:id="52" w:name="_Toc172009668"/>
            <w:r w:rsidRPr="00BC41F0">
              <w:t>$</w:t>
            </w:r>
            <w:r w:rsidR="00ED6890" w:rsidRPr="00BC41F0">
              <w:t>96.5M</w:t>
            </w:r>
            <w:bookmarkEnd w:id="52"/>
          </w:p>
          <w:p w14:paraId="6E2E430A" w14:textId="24E54BEC" w:rsidR="003F134B" w:rsidRPr="00BC41F0" w:rsidRDefault="002B0956" w:rsidP="002B0956">
            <w:pPr>
              <w:rPr>
                <w:sz w:val="18"/>
                <w:szCs w:val="18"/>
              </w:rPr>
            </w:pPr>
            <w:r w:rsidRPr="00BC41F0">
              <w:t xml:space="preserve">premium savings for employers </w:t>
            </w:r>
            <w:r w:rsidRPr="00BC41F0">
              <w:rPr>
                <w:sz w:val="18"/>
                <w:szCs w:val="18"/>
              </w:rPr>
              <w:t xml:space="preserve">(including apprentice and </w:t>
            </w:r>
            <w:r w:rsidR="00851391" w:rsidRPr="00BC41F0">
              <w:rPr>
                <w:sz w:val="18"/>
                <w:szCs w:val="18"/>
              </w:rPr>
              <w:t>3</w:t>
            </w:r>
            <w:r w:rsidRPr="00BC41F0">
              <w:rPr>
                <w:sz w:val="18"/>
                <w:szCs w:val="18"/>
              </w:rPr>
              <w:t>% early payment discounts)</w:t>
            </w:r>
          </w:p>
        </w:tc>
        <w:tc>
          <w:tcPr>
            <w:tcW w:w="3006" w:type="dxa"/>
            <w:tcBorders>
              <w:left w:val="single" w:sz="8" w:space="0" w:color="AEAAAA" w:themeColor="background2" w:themeShade="BF"/>
              <w:bottom w:val="single" w:sz="8" w:space="0" w:color="AEAAAA" w:themeColor="background2" w:themeShade="BF"/>
            </w:tcBorders>
          </w:tcPr>
          <w:p w14:paraId="4F6514F0" w14:textId="6EB6E515" w:rsidR="00C12050" w:rsidRPr="00BC41F0" w:rsidRDefault="00E6338A" w:rsidP="00C12050">
            <w:pPr>
              <w:pStyle w:val="ARSub-heading2"/>
            </w:pPr>
            <w:r w:rsidRPr="00BC41F0">
              <w:t>$32.04M</w:t>
            </w:r>
          </w:p>
          <w:p w14:paraId="7FCEB650" w14:textId="38F71FB7" w:rsidR="002255D8" w:rsidRPr="00BC41F0" w:rsidRDefault="002B0956" w:rsidP="002B0956">
            <w:r w:rsidRPr="00BC41F0">
              <w:t xml:space="preserve">premium </w:t>
            </w:r>
            <w:r w:rsidR="0095519A" w:rsidRPr="00BC41F0">
              <w:t xml:space="preserve">raised </w:t>
            </w:r>
            <w:r w:rsidRPr="00BC41F0">
              <w:t>from non-compliant employers * wage audits and uninsured</w:t>
            </w:r>
          </w:p>
        </w:tc>
      </w:tr>
      <w:tr w:rsidR="002255D8" w:rsidRPr="00DD1045" w14:paraId="3DA1BB4C" w14:textId="77777777" w:rsidTr="00E34DDE">
        <w:tc>
          <w:tcPr>
            <w:tcW w:w="3005" w:type="dxa"/>
            <w:tcBorders>
              <w:top w:val="single" w:sz="8" w:space="0" w:color="AEAAAA" w:themeColor="background2" w:themeShade="BF"/>
              <w:right w:val="single" w:sz="8" w:space="0" w:color="AEAAAA" w:themeColor="background2" w:themeShade="BF"/>
            </w:tcBorders>
          </w:tcPr>
          <w:p w14:paraId="0E1A4D24" w14:textId="5517E8A3" w:rsidR="00C12050" w:rsidRPr="00BC41F0" w:rsidRDefault="007C4D16" w:rsidP="00C12050">
            <w:pPr>
              <w:pStyle w:val="ARSub-heading2"/>
            </w:pPr>
            <w:bookmarkStart w:id="53" w:name="_Toc172009670"/>
            <w:r w:rsidRPr="00BC41F0">
              <w:t>539</w:t>
            </w:r>
            <w:bookmarkEnd w:id="53"/>
          </w:p>
          <w:p w14:paraId="6824944B" w14:textId="3A3E9657" w:rsidR="002255D8" w:rsidRPr="00BC41F0" w:rsidRDefault="002B0956" w:rsidP="002B0956">
            <w:r w:rsidRPr="00BC41F0">
              <w:t>onsite audits by our compliance advisors</w:t>
            </w:r>
          </w:p>
        </w:tc>
        <w:tc>
          <w:tcPr>
            <w:tcW w:w="3005" w:type="dxa"/>
            <w:tcBorders>
              <w:top w:val="single" w:sz="8" w:space="0" w:color="AEAAAA" w:themeColor="background2" w:themeShade="BF"/>
              <w:left w:val="single" w:sz="8" w:space="0" w:color="AEAAAA" w:themeColor="background2" w:themeShade="BF"/>
              <w:right w:val="single" w:sz="8" w:space="0" w:color="AEAAAA" w:themeColor="background2" w:themeShade="BF"/>
            </w:tcBorders>
          </w:tcPr>
          <w:p w14:paraId="1E9E1E5C" w14:textId="663BE0A7" w:rsidR="00C12050" w:rsidRPr="00BC41F0" w:rsidRDefault="005256C9" w:rsidP="00C12050">
            <w:pPr>
              <w:pStyle w:val="ARSub-heading2"/>
            </w:pPr>
            <w:r w:rsidRPr="00BC41F0">
              <w:t>120</w:t>
            </w:r>
          </w:p>
          <w:p w14:paraId="5E59EF8A" w14:textId="4A865600" w:rsidR="002255D8" w:rsidRPr="00BC41F0" w:rsidRDefault="002B0956" w:rsidP="002B0956">
            <w:r w:rsidRPr="00BC41F0">
              <w:t>employers engaged with Injury Prevention and Management Program (IPaM)</w:t>
            </w:r>
          </w:p>
        </w:tc>
        <w:tc>
          <w:tcPr>
            <w:tcW w:w="3006" w:type="dxa"/>
            <w:tcBorders>
              <w:top w:val="single" w:sz="8" w:space="0" w:color="AEAAAA" w:themeColor="background2" w:themeShade="BF"/>
              <w:left w:val="single" w:sz="8" w:space="0" w:color="AEAAAA" w:themeColor="background2" w:themeShade="BF"/>
            </w:tcBorders>
          </w:tcPr>
          <w:p w14:paraId="4457EE2B" w14:textId="45467E84" w:rsidR="00C12050" w:rsidRPr="00BC41F0" w:rsidRDefault="00753153" w:rsidP="00C12050">
            <w:pPr>
              <w:pStyle w:val="ARSub-heading2"/>
            </w:pPr>
            <w:bookmarkStart w:id="54" w:name="_Toc172009672"/>
            <w:r w:rsidRPr="00BC41F0">
              <w:t>7.2</w:t>
            </w:r>
            <w:r w:rsidR="002B0956" w:rsidRPr="00BC41F0">
              <w:t>/10</w:t>
            </w:r>
            <w:bookmarkEnd w:id="54"/>
          </w:p>
          <w:p w14:paraId="3B47695C" w14:textId="02D87046" w:rsidR="002255D8" w:rsidRPr="00BC41F0" w:rsidRDefault="002B0956" w:rsidP="002B0956">
            <w:r w:rsidRPr="00BC41F0">
              <w:t>average customer experience rating by employers</w:t>
            </w:r>
          </w:p>
        </w:tc>
      </w:tr>
    </w:tbl>
    <w:p w14:paraId="24F8AD33" w14:textId="77777777" w:rsidR="002255D8" w:rsidRPr="00DD1045" w:rsidRDefault="002255D8" w:rsidP="002E4A02"/>
    <w:p w14:paraId="2ABE6AEA" w14:textId="551B54B0" w:rsidR="002255D8" w:rsidRPr="00DD1045" w:rsidRDefault="00757DFA" w:rsidP="002255D8">
      <w:pPr>
        <w:pStyle w:val="ARHeading1"/>
      </w:pPr>
      <w:bookmarkStart w:id="55" w:name="_Toc172009673"/>
      <w:r>
        <w:t>For</w:t>
      </w:r>
      <w:r w:rsidR="002255D8" w:rsidRPr="00DD1045">
        <w:t xml:space="preserve"> workers</w:t>
      </w:r>
      <w:bookmarkEnd w:id="5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2255D8" w:rsidRPr="00DD1045" w14:paraId="54493A9F" w14:textId="77777777" w:rsidTr="00E34DDE">
        <w:tc>
          <w:tcPr>
            <w:tcW w:w="3005" w:type="dxa"/>
            <w:tcBorders>
              <w:bottom w:val="single" w:sz="8" w:space="0" w:color="AEAAAA" w:themeColor="background2" w:themeShade="BF"/>
              <w:right w:val="single" w:sz="8" w:space="0" w:color="AEAAAA" w:themeColor="background2" w:themeShade="BF"/>
            </w:tcBorders>
          </w:tcPr>
          <w:p w14:paraId="0E09A766" w14:textId="699CC1EA" w:rsidR="00C12050" w:rsidRPr="00BC41F0" w:rsidRDefault="002B0956" w:rsidP="00E34DDE">
            <w:pPr>
              <w:pStyle w:val="ARSub-heading2"/>
            </w:pPr>
            <w:bookmarkStart w:id="56" w:name="_Toc172009674"/>
            <w:r w:rsidRPr="00BC41F0">
              <w:t>$</w:t>
            </w:r>
            <w:r w:rsidR="00D83A4A" w:rsidRPr="00BC41F0">
              <w:t>1.46B</w:t>
            </w:r>
            <w:bookmarkEnd w:id="56"/>
          </w:p>
          <w:p w14:paraId="27F8C7F0" w14:textId="2362B778" w:rsidR="00C12050" w:rsidRPr="00BC41F0" w:rsidRDefault="002B0956" w:rsidP="000002A7">
            <w:r w:rsidRPr="00BC41F0">
              <w:t>statutory benefits and entitlements paid to workers</w:t>
            </w:r>
          </w:p>
        </w:tc>
        <w:tc>
          <w:tcPr>
            <w:tcW w:w="3005" w:type="dxa"/>
            <w:tcBorders>
              <w:left w:val="single" w:sz="8" w:space="0" w:color="AEAAAA" w:themeColor="background2" w:themeShade="BF"/>
              <w:bottom w:val="single" w:sz="8" w:space="0" w:color="AEAAAA" w:themeColor="background2" w:themeShade="BF"/>
              <w:right w:val="single" w:sz="8" w:space="0" w:color="AEAAAA" w:themeColor="background2" w:themeShade="BF"/>
            </w:tcBorders>
          </w:tcPr>
          <w:p w14:paraId="5ADD9AB7" w14:textId="28855D9B" w:rsidR="00C12050" w:rsidRPr="00BC41F0" w:rsidRDefault="00456089" w:rsidP="00E34DDE">
            <w:pPr>
              <w:pStyle w:val="ARSub-heading2"/>
            </w:pPr>
            <w:bookmarkStart w:id="57" w:name="_Toc172009675"/>
            <w:r w:rsidRPr="00BC41F0">
              <w:t>90.4</w:t>
            </w:r>
            <w:r w:rsidR="002B0956" w:rsidRPr="00BC41F0">
              <w:t>%</w:t>
            </w:r>
            <w:bookmarkEnd w:id="57"/>
          </w:p>
          <w:p w14:paraId="0E1B0121" w14:textId="2367A97B" w:rsidR="002255D8" w:rsidRPr="00BC41F0" w:rsidRDefault="002B0956" w:rsidP="002B0956">
            <w:r w:rsidRPr="00BC41F0">
              <w:t>injured workers returned to work</w:t>
            </w:r>
          </w:p>
        </w:tc>
        <w:tc>
          <w:tcPr>
            <w:tcW w:w="3006" w:type="dxa"/>
            <w:tcBorders>
              <w:left w:val="single" w:sz="8" w:space="0" w:color="AEAAAA" w:themeColor="background2" w:themeShade="BF"/>
              <w:bottom w:val="single" w:sz="8" w:space="0" w:color="AEAAAA" w:themeColor="background2" w:themeShade="BF"/>
            </w:tcBorders>
          </w:tcPr>
          <w:p w14:paraId="4CEDE687" w14:textId="5FC9347E" w:rsidR="00C12050" w:rsidRPr="00BC41F0" w:rsidRDefault="009C6A7F" w:rsidP="00E34DDE">
            <w:pPr>
              <w:pStyle w:val="ARSub-heading2"/>
            </w:pPr>
            <w:r w:rsidRPr="00BC41F0">
              <w:t>74,127</w:t>
            </w:r>
          </w:p>
          <w:p w14:paraId="3D0718A5" w14:textId="2C9180BD" w:rsidR="002255D8" w:rsidRPr="00BC41F0" w:rsidRDefault="002B0956" w:rsidP="002E4A02">
            <w:r w:rsidRPr="00BC41F0">
              <w:t>injured workers</w:t>
            </w:r>
            <w:r w:rsidR="007672C3" w:rsidRPr="00BC41F0">
              <w:t xml:space="preserve"> supported through a claim</w:t>
            </w:r>
          </w:p>
        </w:tc>
      </w:tr>
      <w:tr w:rsidR="002255D8" w:rsidRPr="00DD1045" w14:paraId="1CC7FD8E" w14:textId="77777777" w:rsidTr="00E34DDE">
        <w:tc>
          <w:tcPr>
            <w:tcW w:w="3005" w:type="dxa"/>
            <w:tcBorders>
              <w:top w:val="single" w:sz="8" w:space="0" w:color="AEAAAA" w:themeColor="background2" w:themeShade="BF"/>
              <w:right w:val="single" w:sz="8" w:space="0" w:color="AEAAAA" w:themeColor="background2" w:themeShade="BF"/>
            </w:tcBorders>
          </w:tcPr>
          <w:p w14:paraId="042CD07C" w14:textId="1D67F231" w:rsidR="00C12050" w:rsidRPr="00BC41F0" w:rsidRDefault="009C6A7F" w:rsidP="00E34DDE">
            <w:pPr>
              <w:pStyle w:val="ARSub-heading2"/>
            </w:pPr>
            <w:r w:rsidRPr="00BC41F0">
              <w:t>3,241</w:t>
            </w:r>
          </w:p>
          <w:p w14:paraId="185AC6F2" w14:textId="5DB1AC53" w:rsidR="002255D8" w:rsidRPr="00BC41F0" w:rsidRDefault="002B0956" w:rsidP="002B0956">
            <w:r w:rsidRPr="00BC41F0">
              <w:t>new common law claims</w:t>
            </w:r>
          </w:p>
        </w:tc>
        <w:tc>
          <w:tcPr>
            <w:tcW w:w="3005" w:type="dxa"/>
            <w:tcBorders>
              <w:top w:val="single" w:sz="8" w:space="0" w:color="AEAAAA" w:themeColor="background2" w:themeShade="BF"/>
              <w:left w:val="single" w:sz="8" w:space="0" w:color="AEAAAA" w:themeColor="background2" w:themeShade="BF"/>
              <w:right w:val="single" w:sz="8" w:space="0" w:color="AEAAAA" w:themeColor="background2" w:themeShade="BF"/>
            </w:tcBorders>
          </w:tcPr>
          <w:p w14:paraId="282C7000" w14:textId="58A4CF17" w:rsidR="00C12050" w:rsidRPr="00BC41F0" w:rsidRDefault="00DC63C9" w:rsidP="00E34DDE">
            <w:pPr>
              <w:pStyle w:val="ARSub-heading2"/>
            </w:pPr>
            <w:bookmarkStart w:id="58" w:name="_Toc172009678"/>
            <w:r w:rsidRPr="00BC41F0">
              <w:t>7.2</w:t>
            </w:r>
            <w:r w:rsidR="002B0956" w:rsidRPr="00BC41F0">
              <w:t>/10</w:t>
            </w:r>
            <w:bookmarkEnd w:id="58"/>
          </w:p>
          <w:p w14:paraId="6D8EFBF1" w14:textId="55AD2CF6" w:rsidR="00C12050" w:rsidRPr="00BC41F0" w:rsidRDefault="002B0956" w:rsidP="000002A7">
            <w:r w:rsidRPr="00BC41F0">
              <w:t>average customer experience rating by workers</w:t>
            </w:r>
          </w:p>
        </w:tc>
        <w:tc>
          <w:tcPr>
            <w:tcW w:w="3006" w:type="dxa"/>
            <w:tcBorders>
              <w:top w:val="single" w:sz="8" w:space="0" w:color="AEAAAA" w:themeColor="background2" w:themeShade="BF"/>
              <w:left w:val="single" w:sz="8" w:space="0" w:color="AEAAAA" w:themeColor="background2" w:themeShade="BF"/>
            </w:tcBorders>
          </w:tcPr>
          <w:p w14:paraId="3B40ECBA" w14:textId="507FAD76" w:rsidR="00C12050" w:rsidRPr="00BC41F0" w:rsidRDefault="009C6A7F" w:rsidP="00E34DDE">
            <w:pPr>
              <w:pStyle w:val="ARSub-heading2"/>
            </w:pPr>
            <w:r w:rsidRPr="00BC41F0">
              <w:t>3,364</w:t>
            </w:r>
          </w:p>
          <w:p w14:paraId="21643813" w14:textId="300FB287" w:rsidR="002255D8" w:rsidRPr="00BC41F0" w:rsidRDefault="002B0956" w:rsidP="002B0956">
            <w:r w:rsidRPr="00BC41F0">
              <w:t xml:space="preserve">workers with a </w:t>
            </w:r>
            <w:r w:rsidR="009C6A7F" w:rsidRPr="00BC41F0">
              <w:t xml:space="preserve">primary </w:t>
            </w:r>
            <w:r w:rsidRPr="00BC41F0">
              <w:t xml:space="preserve">mental injury claim </w:t>
            </w:r>
          </w:p>
        </w:tc>
      </w:tr>
    </w:tbl>
    <w:p w14:paraId="17D71967" w14:textId="1CDBE05E" w:rsidR="002255D8" w:rsidRPr="00DD1045" w:rsidRDefault="002255D8" w:rsidP="00E34DDE"/>
    <w:p w14:paraId="3858DE4C" w14:textId="5AECAC60" w:rsidR="00E34DDE" w:rsidRPr="00DD1045" w:rsidRDefault="00C45E6B" w:rsidP="00C45E6B">
      <w:pPr>
        <w:pStyle w:val="ARHeading1"/>
      </w:pPr>
      <w:bookmarkStart w:id="59" w:name="_Toc172009680"/>
      <w:r w:rsidRPr="00DD1045">
        <w:t>We also</w:t>
      </w:r>
      <w:bookmarkEnd w:id="5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E34DDE" w:rsidRPr="00DD1045" w14:paraId="033B8FD9" w14:textId="77777777" w:rsidTr="476CCBC5">
        <w:tc>
          <w:tcPr>
            <w:tcW w:w="3005" w:type="dxa"/>
            <w:tcBorders>
              <w:right w:val="single" w:sz="8" w:space="0" w:color="AEAAAA" w:themeColor="background2" w:themeShade="BF"/>
            </w:tcBorders>
          </w:tcPr>
          <w:p w14:paraId="40AA60F1" w14:textId="3E534A5F" w:rsidR="00E34DDE" w:rsidRPr="000002A7" w:rsidRDefault="23EFB38F" w:rsidP="000002A7">
            <w:pPr>
              <w:pStyle w:val="ARSub-heading2"/>
              <w:jc w:val="center"/>
            </w:pPr>
            <w:bookmarkStart w:id="60" w:name="_Toc172009681"/>
            <w:r>
              <w:t xml:space="preserve">Created new </w:t>
            </w:r>
            <w:r w:rsidR="0019616F">
              <w:br/>
            </w:r>
            <w:r>
              <w:t xml:space="preserve">opportunities for </w:t>
            </w:r>
            <w:r w:rsidR="0019616F">
              <w:br/>
            </w:r>
            <w:r>
              <w:t>our people</w:t>
            </w:r>
            <w:bookmarkEnd w:id="60"/>
          </w:p>
        </w:tc>
        <w:tc>
          <w:tcPr>
            <w:tcW w:w="3005" w:type="dxa"/>
            <w:tcBorders>
              <w:left w:val="single" w:sz="8" w:space="0" w:color="AEAAAA" w:themeColor="background2" w:themeShade="BF"/>
              <w:right w:val="single" w:sz="8" w:space="0" w:color="AEAAAA" w:themeColor="background2" w:themeShade="BF"/>
            </w:tcBorders>
          </w:tcPr>
          <w:p w14:paraId="6355D7C3" w14:textId="2398BCA4" w:rsidR="00E34DDE" w:rsidRPr="000002A7" w:rsidRDefault="00E34DDE" w:rsidP="000002A7">
            <w:pPr>
              <w:pStyle w:val="ARSub-heading2"/>
              <w:jc w:val="center"/>
            </w:pPr>
            <w:bookmarkStart w:id="61" w:name="_Toc172009682"/>
            <w:r w:rsidRPr="000002A7">
              <w:t xml:space="preserve">Invested in our </w:t>
            </w:r>
            <w:r w:rsidR="002F5589" w:rsidRPr="000002A7">
              <w:br/>
            </w:r>
            <w:r w:rsidRPr="000002A7">
              <w:t>technology and cyber security</w:t>
            </w:r>
            <w:bookmarkEnd w:id="61"/>
          </w:p>
        </w:tc>
        <w:tc>
          <w:tcPr>
            <w:tcW w:w="3006" w:type="dxa"/>
            <w:tcBorders>
              <w:left w:val="single" w:sz="8" w:space="0" w:color="AEAAAA" w:themeColor="background2" w:themeShade="BF"/>
            </w:tcBorders>
          </w:tcPr>
          <w:p w14:paraId="6F43485A" w14:textId="7252F6BE" w:rsidR="00E34DDE" w:rsidRPr="000002A7" w:rsidRDefault="6343757B">
            <w:pPr>
              <w:pStyle w:val="ARSub-heading2"/>
              <w:jc w:val="center"/>
            </w:pPr>
            <w:bookmarkStart w:id="62" w:name="_Toc172009683"/>
            <w:r>
              <w:t xml:space="preserve">Enhanced </w:t>
            </w:r>
            <w:r w:rsidR="00A41EC0">
              <w:t xml:space="preserve">our </w:t>
            </w:r>
            <w:r>
              <w:t xml:space="preserve">focus </w:t>
            </w:r>
            <w:r w:rsidR="00A41EC0">
              <w:br/>
            </w:r>
            <w:r>
              <w:t xml:space="preserve">through our </w:t>
            </w:r>
            <w:r w:rsidR="60702664">
              <w:t>First Nations strategy</w:t>
            </w:r>
            <w:bookmarkEnd w:id="62"/>
          </w:p>
        </w:tc>
      </w:tr>
    </w:tbl>
    <w:p w14:paraId="66C0E1D8" w14:textId="77777777" w:rsidR="008C40E4" w:rsidRPr="00DD1045" w:rsidRDefault="008C40E4" w:rsidP="00F033FC"/>
    <w:p w14:paraId="76859AEA" w14:textId="40B2B7D6" w:rsidR="002E4A02" w:rsidRPr="00DD1045" w:rsidRDefault="002E4A02" w:rsidP="002E4A02">
      <w:pPr>
        <w:pStyle w:val="ARMainTitle"/>
        <w:pBdr>
          <w:bottom w:val="single" w:sz="4" w:space="1" w:color="auto"/>
        </w:pBdr>
      </w:pPr>
      <w:bookmarkStart w:id="63" w:name="_Toc172009684"/>
      <w:r w:rsidRPr="00DD1045">
        <w:lastRenderedPageBreak/>
        <w:t xml:space="preserve">Our </w:t>
      </w:r>
      <w:r w:rsidR="00C83A54" w:rsidRPr="00DD1045">
        <w:t xml:space="preserve">financial and non-financial </w:t>
      </w:r>
      <w:r w:rsidRPr="00DD1045">
        <w:t>performance indicators</w:t>
      </w:r>
      <w:bookmarkEnd w:id="63"/>
    </w:p>
    <w:p w14:paraId="237557A2" w14:textId="24795E20" w:rsidR="003642E9" w:rsidRPr="00DD1045" w:rsidRDefault="003642E9" w:rsidP="003642E9">
      <w:pPr>
        <w:rPr>
          <w:lang w:eastAsia="en-AU"/>
        </w:rPr>
      </w:pPr>
      <w:r w:rsidRPr="00DD1045">
        <w:rPr>
          <w:lang w:eastAsia="en-AU"/>
        </w:rPr>
        <w:t>Performance indicators are focused at the corporate level. As part of WorkCover’s performance management system, leaders and their people have indicators specifically directed to their business units. </w:t>
      </w:r>
    </w:p>
    <w:tbl>
      <w:tblPr>
        <w:tblStyle w:val="TableGrid"/>
        <w:tblW w:w="9070" w:type="dxa"/>
        <w:tblInd w:w="-5" w:type="dxa"/>
        <w:tblBorders>
          <w:top w:val="single" w:sz="8" w:space="0" w:color="E7E6E6"/>
          <w:left w:val="single" w:sz="8" w:space="0" w:color="E7E6E6"/>
          <w:bottom w:val="single" w:sz="8" w:space="0" w:color="E7E6E6"/>
          <w:right w:val="single" w:sz="8" w:space="0" w:color="E7E6E6"/>
          <w:insideH w:val="single" w:sz="8" w:space="0" w:color="E7E6E6"/>
          <w:insideV w:val="single" w:sz="8" w:space="0" w:color="E7E6E6"/>
        </w:tblBorders>
        <w:tblLook w:val="04A0" w:firstRow="1" w:lastRow="0" w:firstColumn="1" w:lastColumn="0" w:noHBand="0" w:noVBand="1"/>
      </w:tblPr>
      <w:tblGrid>
        <w:gridCol w:w="4106"/>
        <w:gridCol w:w="2552"/>
        <w:gridCol w:w="2412"/>
      </w:tblGrid>
      <w:tr w:rsidR="0042290D" w:rsidRPr="00DD1045" w14:paraId="4CD85099" w14:textId="77777777" w:rsidTr="008D7EDE">
        <w:trPr>
          <w:trHeight w:val="226"/>
        </w:trPr>
        <w:tc>
          <w:tcPr>
            <w:tcW w:w="4106" w:type="dxa"/>
            <w:tcBorders>
              <w:left w:val="nil"/>
            </w:tcBorders>
            <w:shd w:val="clear" w:color="auto" w:fill="7F7F7F" w:themeFill="text1" w:themeFillTint="80"/>
            <w:vAlign w:val="center"/>
          </w:tcPr>
          <w:p w14:paraId="1FAACB5C" w14:textId="63FE95FC" w:rsidR="003642E9" w:rsidRPr="00DD1045" w:rsidRDefault="003642E9" w:rsidP="004B7BCA">
            <w:pPr>
              <w:pStyle w:val="ARDotpoints"/>
              <w:numPr>
                <w:ilvl w:val="0"/>
                <w:numId w:val="0"/>
              </w:numPr>
              <w:rPr>
                <w:color w:val="FFFFFF" w:themeColor="background1"/>
              </w:rPr>
            </w:pPr>
            <w:r w:rsidRPr="00DD1045">
              <w:rPr>
                <w:color w:val="FFFFFF" w:themeColor="background1"/>
              </w:rPr>
              <w:t>Indicator</w:t>
            </w:r>
          </w:p>
        </w:tc>
        <w:tc>
          <w:tcPr>
            <w:tcW w:w="2552" w:type="dxa"/>
            <w:shd w:val="clear" w:color="auto" w:fill="7F7F7F" w:themeFill="text1" w:themeFillTint="80"/>
            <w:vAlign w:val="center"/>
          </w:tcPr>
          <w:p w14:paraId="5164E698" w14:textId="42B45715" w:rsidR="003642E9" w:rsidRPr="00DD1045" w:rsidRDefault="003642E9" w:rsidP="00B97DF4">
            <w:pPr>
              <w:pStyle w:val="ARDotpoints"/>
              <w:numPr>
                <w:ilvl w:val="0"/>
                <w:numId w:val="0"/>
              </w:numPr>
              <w:jc w:val="center"/>
              <w:rPr>
                <w:color w:val="FFFFFF" w:themeColor="background1"/>
              </w:rPr>
            </w:pPr>
            <w:r w:rsidRPr="002F4652">
              <w:rPr>
                <w:color w:val="FFFFFF" w:themeColor="background1"/>
              </w:rPr>
              <w:t>2023</w:t>
            </w:r>
            <w:r w:rsidR="00922B4E" w:rsidRPr="002F4652">
              <w:rPr>
                <w:color w:val="FFFFFF" w:themeColor="background1"/>
              </w:rPr>
              <w:t>–</w:t>
            </w:r>
            <w:r w:rsidRPr="002F4652">
              <w:rPr>
                <w:color w:val="FFFFFF" w:themeColor="background1"/>
              </w:rPr>
              <w:t xml:space="preserve">2024 </w:t>
            </w:r>
            <w:r w:rsidRPr="00DD1045">
              <w:rPr>
                <w:color w:val="FFFFFF" w:themeColor="background1"/>
              </w:rPr>
              <w:t>Target</w:t>
            </w:r>
          </w:p>
        </w:tc>
        <w:tc>
          <w:tcPr>
            <w:tcW w:w="2412" w:type="dxa"/>
            <w:tcBorders>
              <w:right w:val="nil"/>
            </w:tcBorders>
            <w:shd w:val="clear" w:color="auto" w:fill="7F7F7F" w:themeFill="text1" w:themeFillTint="80"/>
            <w:vAlign w:val="center"/>
          </w:tcPr>
          <w:p w14:paraId="76484051" w14:textId="115BDD99" w:rsidR="003642E9" w:rsidRPr="00DD1045" w:rsidRDefault="003642E9" w:rsidP="00B97DF4">
            <w:pPr>
              <w:pStyle w:val="ARDotpoints"/>
              <w:numPr>
                <w:ilvl w:val="0"/>
                <w:numId w:val="0"/>
              </w:numPr>
              <w:jc w:val="center"/>
              <w:rPr>
                <w:color w:val="FFFFFF" w:themeColor="background1"/>
              </w:rPr>
            </w:pPr>
            <w:r w:rsidRPr="00DD1045">
              <w:rPr>
                <w:color w:val="FFFFFF" w:themeColor="background1"/>
              </w:rPr>
              <w:t>2023</w:t>
            </w:r>
            <w:r w:rsidR="00922B4E" w:rsidRPr="002F4652">
              <w:rPr>
                <w:color w:val="FFFFFF" w:themeColor="background1"/>
              </w:rPr>
              <w:t>–</w:t>
            </w:r>
            <w:r w:rsidRPr="00DD1045">
              <w:rPr>
                <w:color w:val="FFFFFF" w:themeColor="background1"/>
              </w:rPr>
              <w:t>2024 Achieved</w:t>
            </w:r>
          </w:p>
        </w:tc>
      </w:tr>
      <w:tr w:rsidR="006B019B" w:rsidRPr="00DD1045" w14:paraId="3475C20F" w14:textId="77777777" w:rsidTr="008D7EDE">
        <w:trPr>
          <w:trHeight w:val="89"/>
        </w:trPr>
        <w:tc>
          <w:tcPr>
            <w:tcW w:w="9070" w:type="dxa"/>
            <w:gridSpan w:val="3"/>
            <w:tcBorders>
              <w:left w:val="nil"/>
              <w:right w:val="nil"/>
            </w:tcBorders>
            <w:shd w:val="clear" w:color="auto" w:fill="F2F2F2" w:themeFill="background1" w:themeFillShade="F2"/>
            <w:vAlign w:val="center"/>
          </w:tcPr>
          <w:p w14:paraId="396A0CB1" w14:textId="7A1428C7" w:rsidR="003642E9" w:rsidRPr="00DD1045" w:rsidRDefault="003642E9" w:rsidP="006173CE">
            <w:pPr>
              <w:pStyle w:val="ARDotpoints"/>
              <w:numPr>
                <w:ilvl w:val="0"/>
                <w:numId w:val="0"/>
              </w:numPr>
              <w:rPr>
                <w:b/>
                <w:bCs/>
              </w:rPr>
            </w:pPr>
            <w:r w:rsidRPr="00DD1045">
              <w:rPr>
                <w:b/>
                <w:bCs/>
              </w:rPr>
              <w:t>Operations</w:t>
            </w:r>
          </w:p>
        </w:tc>
      </w:tr>
      <w:tr w:rsidR="003E4026" w:rsidRPr="00DD1045" w14:paraId="408C37F1" w14:textId="77777777" w:rsidTr="008D7EDE">
        <w:trPr>
          <w:trHeight w:val="91"/>
        </w:trPr>
        <w:tc>
          <w:tcPr>
            <w:tcW w:w="4106" w:type="dxa"/>
            <w:tcBorders>
              <w:left w:val="nil"/>
            </w:tcBorders>
            <w:vAlign w:val="center"/>
          </w:tcPr>
          <w:p w14:paraId="24A29889" w14:textId="7E65539D" w:rsidR="003E4026" w:rsidRPr="00DD1045" w:rsidRDefault="003E4026" w:rsidP="006173CE">
            <w:pPr>
              <w:pStyle w:val="ARDotpoints"/>
              <w:numPr>
                <w:ilvl w:val="0"/>
                <w:numId w:val="0"/>
              </w:numPr>
            </w:pPr>
            <w:r w:rsidRPr="00DD1045">
              <w:t>Average weekly compensation paid days</w:t>
            </w:r>
          </w:p>
        </w:tc>
        <w:tc>
          <w:tcPr>
            <w:tcW w:w="2552" w:type="dxa"/>
            <w:vAlign w:val="center"/>
          </w:tcPr>
          <w:p w14:paraId="1DAEC853" w14:textId="50D12D75" w:rsidR="003E4026" w:rsidRPr="00DD1045" w:rsidRDefault="00C0626D" w:rsidP="006173CE">
            <w:pPr>
              <w:pStyle w:val="ARDotpoints"/>
              <w:numPr>
                <w:ilvl w:val="0"/>
                <w:numId w:val="0"/>
              </w:numPr>
              <w:jc w:val="center"/>
            </w:pPr>
            <w:r w:rsidRPr="0019616F">
              <w:t>52</w:t>
            </w:r>
            <w:r w:rsidR="003E4026" w:rsidRPr="00DD1045">
              <w:t xml:space="preserve"> days</w:t>
            </w:r>
          </w:p>
        </w:tc>
        <w:tc>
          <w:tcPr>
            <w:tcW w:w="2412" w:type="dxa"/>
            <w:tcBorders>
              <w:right w:val="nil"/>
            </w:tcBorders>
            <w:vAlign w:val="center"/>
          </w:tcPr>
          <w:p w14:paraId="5547DA3D" w14:textId="69D27097" w:rsidR="003E4026" w:rsidRPr="00BC41F0" w:rsidRDefault="00534915" w:rsidP="006173CE">
            <w:pPr>
              <w:pStyle w:val="ARDotpoints"/>
              <w:numPr>
                <w:ilvl w:val="0"/>
                <w:numId w:val="0"/>
              </w:numPr>
              <w:jc w:val="center"/>
            </w:pPr>
            <w:r w:rsidRPr="00BC41F0">
              <w:t xml:space="preserve">53.6 </w:t>
            </w:r>
            <w:r w:rsidR="003E4026" w:rsidRPr="00BC41F0">
              <w:t>days</w:t>
            </w:r>
          </w:p>
        </w:tc>
      </w:tr>
      <w:tr w:rsidR="003E4026" w:rsidRPr="00DD1045" w14:paraId="2CC1D8D5" w14:textId="77777777" w:rsidTr="008D7EDE">
        <w:trPr>
          <w:trHeight w:val="91"/>
        </w:trPr>
        <w:tc>
          <w:tcPr>
            <w:tcW w:w="4106" w:type="dxa"/>
            <w:tcBorders>
              <w:left w:val="nil"/>
            </w:tcBorders>
            <w:vAlign w:val="center"/>
          </w:tcPr>
          <w:p w14:paraId="5E4AF3F6" w14:textId="194BE56A" w:rsidR="003E4026" w:rsidRPr="00DD1045" w:rsidRDefault="0067647C" w:rsidP="006173CE">
            <w:pPr>
              <w:pStyle w:val="ARDotpoints"/>
              <w:numPr>
                <w:ilvl w:val="0"/>
                <w:numId w:val="0"/>
              </w:numPr>
            </w:pPr>
            <w:r w:rsidRPr="00DD1045">
              <w:t>Average annual statutory claim cost</w:t>
            </w:r>
          </w:p>
        </w:tc>
        <w:tc>
          <w:tcPr>
            <w:tcW w:w="2552" w:type="dxa"/>
            <w:vAlign w:val="center"/>
          </w:tcPr>
          <w:p w14:paraId="0C036119" w14:textId="1263E479" w:rsidR="003E4026" w:rsidRPr="00DD1045" w:rsidRDefault="007C4F99" w:rsidP="006173CE">
            <w:pPr>
              <w:jc w:val="center"/>
            </w:pPr>
            <w:r w:rsidRPr="00DD1045">
              <w:t>&lt;$</w:t>
            </w:r>
            <w:r w:rsidR="00C0626D">
              <w:t>12,800</w:t>
            </w:r>
          </w:p>
        </w:tc>
        <w:tc>
          <w:tcPr>
            <w:tcW w:w="2412" w:type="dxa"/>
            <w:tcBorders>
              <w:right w:val="nil"/>
            </w:tcBorders>
            <w:vAlign w:val="center"/>
          </w:tcPr>
          <w:p w14:paraId="78B0ABF5" w14:textId="22B60384" w:rsidR="003E4026" w:rsidRPr="00BC41F0" w:rsidRDefault="007C4F99" w:rsidP="006173CE">
            <w:pPr>
              <w:jc w:val="center"/>
            </w:pPr>
            <w:r w:rsidRPr="00BC41F0">
              <w:t>$</w:t>
            </w:r>
            <w:r w:rsidR="00534915" w:rsidRPr="00BC41F0">
              <w:t>12,</w:t>
            </w:r>
            <w:r w:rsidR="00FB3FD9" w:rsidRPr="00BC41F0">
              <w:t>719</w:t>
            </w:r>
          </w:p>
        </w:tc>
      </w:tr>
      <w:tr w:rsidR="0067647C" w:rsidRPr="00DD1045" w14:paraId="5B295D2C" w14:textId="77777777" w:rsidTr="008D7EDE">
        <w:trPr>
          <w:trHeight w:val="91"/>
        </w:trPr>
        <w:tc>
          <w:tcPr>
            <w:tcW w:w="4106" w:type="dxa"/>
            <w:tcBorders>
              <w:left w:val="nil"/>
            </w:tcBorders>
            <w:vAlign w:val="center"/>
          </w:tcPr>
          <w:p w14:paraId="15592F70" w14:textId="3A5F0BA3" w:rsidR="0067647C" w:rsidRPr="00DD1045" w:rsidRDefault="0067647C" w:rsidP="006173CE">
            <w:pPr>
              <w:pStyle w:val="ARDotpoints"/>
              <w:numPr>
                <w:ilvl w:val="0"/>
                <w:numId w:val="0"/>
              </w:numPr>
            </w:pPr>
            <w:r w:rsidRPr="00DD1045">
              <w:t>Final return to work (</w:t>
            </w:r>
            <w:r w:rsidRPr="00425294">
              <w:t>RTW</w:t>
            </w:r>
            <w:r w:rsidRPr="00DD1045">
              <w:t>) %</w:t>
            </w:r>
          </w:p>
        </w:tc>
        <w:tc>
          <w:tcPr>
            <w:tcW w:w="2552" w:type="dxa"/>
            <w:vAlign w:val="center"/>
          </w:tcPr>
          <w:p w14:paraId="197DA63E" w14:textId="4B7B0443" w:rsidR="0067647C" w:rsidRPr="00DD1045" w:rsidRDefault="00C0626D" w:rsidP="006173CE">
            <w:pPr>
              <w:jc w:val="center"/>
            </w:pPr>
            <w:r>
              <w:t>91.5</w:t>
            </w:r>
            <w:r w:rsidR="004B7BCA" w:rsidRPr="00DD1045">
              <w:t>%</w:t>
            </w:r>
          </w:p>
        </w:tc>
        <w:tc>
          <w:tcPr>
            <w:tcW w:w="2412" w:type="dxa"/>
            <w:tcBorders>
              <w:right w:val="nil"/>
            </w:tcBorders>
            <w:vAlign w:val="center"/>
          </w:tcPr>
          <w:p w14:paraId="045F681A" w14:textId="1D57F1E9" w:rsidR="0067647C" w:rsidRPr="00BC41F0" w:rsidRDefault="00FB3FD9" w:rsidP="006173CE">
            <w:pPr>
              <w:jc w:val="center"/>
            </w:pPr>
            <w:r w:rsidRPr="00BC41F0">
              <w:t>90.4</w:t>
            </w:r>
            <w:r w:rsidR="004B7BCA" w:rsidRPr="00BC41F0">
              <w:t>%</w:t>
            </w:r>
          </w:p>
        </w:tc>
      </w:tr>
      <w:tr w:rsidR="0067647C" w:rsidRPr="00DD1045" w14:paraId="322E2E9C" w14:textId="77777777" w:rsidTr="008D7EDE">
        <w:trPr>
          <w:trHeight w:val="91"/>
        </w:trPr>
        <w:tc>
          <w:tcPr>
            <w:tcW w:w="4106" w:type="dxa"/>
            <w:tcBorders>
              <w:left w:val="nil"/>
            </w:tcBorders>
            <w:vAlign w:val="center"/>
          </w:tcPr>
          <w:p w14:paraId="1B3152EC" w14:textId="28C0B4E3" w:rsidR="0067647C" w:rsidRPr="00DD1045" w:rsidRDefault="0067647C" w:rsidP="006173CE">
            <w:pPr>
              <w:pStyle w:val="ARDotpoints"/>
              <w:numPr>
                <w:ilvl w:val="0"/>
                <w:numId w:val="0"/>
              </w:numPr>
            </w:pPr>
            <w:r w:rsidRPr="00DD1045">
              <w:t>Average common law claim cost</w:t>
            </w:r>
          </w:p>
        </w:tc>
        <w:tc>
          <w:tcPr>
            <w:tcW w:w="2552" w:type="dxa"/>
            <w:vAlign w:val="center"/>
          </w:tcPr>
          <w:p w14:paraId="4E46EE2B" w14:textId="33CE0A5A" w:rsidR="0067647C" w:rsidRPr="00DD1045" w:rsidRDefault="007C4F99" w:rsidP="006173CE">
            <w:pPr>
              <w:jc w:val="center"/>
            </w:pPr>
            <w:r w:rsidRPr="00DD1045">
              <w:t>&lt;$</w:t>
            </w:r>
            <w:r w:rsidR="00C0626D">
              <w:t>212,000</w:t>
            </w:r>
          </w:p>
        </w:tc>
        <w:tc>
          <w:tcPr>
            <w:tcW w:w="2412" w:type="dxa"/>
            <w:tcBorders>
              <w:right w:val="nil"/>
            </w:tcBorders>
            <w:vAlign w:val="center"/>
          </w:tcPr>
          <w:p w14:paraId="122BB793" w14:textId="60C64BD4" w:rsidR="0067647C" w:rsidRPr="00BC41F0" w:rsidRDefault="007C4F99" w:rsidP="006173CE">
            <w:pPr>
              <w:jc w:val="center"/>
            </w:pPr>
            <w:r w:rsidRPr="00BC41F0">
              <w:t>$</w:t>
            </w:r>
            <w:r w:rsidR="00FB3FD9" w:rsidRPr="00BC41F0">
              <w:t>208,876</w:t>
            </w:r>
          </w:p>
        </w:tc>
      </w:tr>
      <w:tr w:rsidR="006B019B" w:rsidRPr="00DD1045" w14:paraId="26610489" w14:textId="77777777" w:rsidTr="008D7EDE">
        <w:trPr>
          <w:trHeight w:val="91"/>
        </w:trPr>
        <w:tc>
          <w:tcPr>
            <w:tcW w:w="9070" w:type="dxa"/>
            <w:gridSpan w:val="3"/>
            <w:tcBorders>
              <w:left w:val="nil"/>
              <w:right w:val="nil"/>
            </w:tcBorders>
            <w:shd w:val="clear" w:color="auto" w:fill="F2F2F2" w:themeFill="background1" w:themeFillShade="F2"/>
            <w:vAlign w:val="center"/>
          </w:tcPr>
          <w:p w14:paraId="6F799549" w14:textId="06B9E4D6" w:rsidR="003E4026" w:rsidRPr="00BC41F0" w:rsidRDefault="003E4026" w:rsidP="006173CE">
            <w:pPr>
              <w:pStyle w:val="ARDotpoints"/>
              <w:numPr>
                <w:ilvl w:val="0"/>
                <w:numId w:val="0"/>
              </w:numPr>
              <w:rPr>
                <w:b/>
                <w:bCs/>
              </w:rPr>
            </w:pPr>
            <w:r w:rsidRPr="00BC41F0">
              <w:rPr>
                <w:b/>
                <w:bCs/>
              </w:rPr>
              <w:t>Financial</w:t>
            </w:r>
          </w:p>
        </w:tc>
      </w:tr>
      <w:tr w:rsidR="003E4026" w:rsidRPr="00DD1045" w14:paraId="4FDAE4E4" w14:textId="77777777" w:rsidTr="008D7EDE">
        <w:trPr>
          <w:trHeight w:val="91"/>
        </w:trPr>
        <w:tc>
          <w:tcPr>
            <w:tcW w:w="4106" w:type="dxa"/>
            <w:tcBorders>
              <w:left w:val="nil"/>
            </w:tcBorders>
            <w:vAlign w:val="center"/>
          </w:tcPr>
          <w:p w14:paraId="72F7CEB6" w14:textId="4AE6E8F4" w:rsidR="003E4026" w:rsidRPr="00DD1045" w:rsidRDefault="004B7BCA" w:rsidP="006173CE">
            <w:pPr>
              <w:pStyle w:val="ARDotpoints"/>
              <w:numPr>
                <w:ilvl w:val="0"/>
                <w:numId w:val="0"/>
              </w:numPr>
            </w:pPr>
            <w:r w:rsidRPr="00DD1045">
              <w:t>Funding ratio</w:t>
            </w:r>
          </w:p>
        </w:tc>
        <w:tc>
          <w:tcPr>
            <w:tcW w:w="2552" w:type="dxa"/>
            <w:vAlign w:val="center"/>
          </w:tcPr>
          <w:p w14:paraId="5D356291" w14:textId="60C64F11" w:rsidR="003E4026" w:rsidRPr="00DD1045" w:rsidRDefault="004B7BCA" w:rsidP="006173CE">
            <w:pPr>
              <w:jc w:val="center"/>
            </w:pPr>
            <w:r w:rsidRPr="00DD1045">
              <w:t>&gt;</w:t>
            </w:r>
            <w:r w:rsidR="00C0626D">
              <w:t>120</w:t>
            </w:r>
            <w:r w:rsidRPr="00DD1045">
              <w:t>%</w:t>
            </w:r>
          </w:p>
        </w:tc>
        <w:tc>
          <w:tcPr>
            <w:tcW w:w="2412" w:type="dxa"/>
            <w:tcBorders>
              <w:right w:val="nil"/>
            </w:tcBorders>
            <w:vAlign w:val="center"/>
          </w:tcPr>
          <w:p w14:paraId="641334BB" w14:textId="126144F0" w:rsidR="003E4026" w:rsidRPr="00BC41F0" w:rsidRDefault="004117A9" w:rsidP="006173CE">
            <w:pPr>
              <w:jc w:val="center"/>
            </w:pPr>
            <w:r w:rsidRPr="00BC41F0">
              <w:t>&gt;120</w:t>
            </w:r>
            <w:r w:rsidR="004B7BCA" w:rsidRPr="00BC41F0">
              <w:t>%</w:t>
            </w:r>
          </w:p>
        </w:tc>
      </w:tr>
      <w:tr w:rsidR="003E4026" w:rsidRPr="00DD1045" w14:paraId="49CC1FF5" w14:textId="77777777" w:rsidTr="008D7EDE">
        <w:trPr>
          <w:trHeight w:val="91"/>
        </w:trPr>
        <w:tc>
          <w:tcPr>
            <w:tcW w:w="4106" w:type="dxa"/>
            <w:tcBorders>
              <w:left w:val="nil"/>
            </w:tcBorders>
            <w:vAlign w:val="center"/>
          </w:tcPr>
          <w:p w14:paraId="1B8BDB71" w14:textId="2F534805" w:rsidR="003E4026" w:rsidRPr="00DD1045" w:rsidRDefault="004B7BCA" w:rsidP="006173CE">
            <w:pPr>
              <w:pStyle w:val="ARDotpoints"/>
              <w:numPr>
                <w:ilvl w:val="0"/>
                <w:numId w:val="0"/>
              </w:numPr>
            </w:pPr>
            <w:r w:rsidRPr="00DD1045">
              <w:t>Average premium rate (target)</w:t>
            </w:r>
          </w:p>
        </w:tc>
        <w:tc>
          <w:tcPr>
            <w:tcW w:w="2552" w:type="dxa"/>
            <w:vAlign w:val="center"/>
          </w:tcPr>
          <w:p w14:paraId="245A3818" w14:textId="08785E6F" w:rsidR="003E4026" w:rsidRPr="00DD1045" w:rsidRDefault="004B7BCA" w:rsidP="006173CE">
            <w:pPr>
              <w:jc w:val="center"/>
            </w:pPr>
            <w:r w:rsidRPr="00DD1045">
              <w:t>$</w:t>
            </w:r>
            <w:r w:rsidR="00C0626D">
              <w:t>1.29</w:t>
            </w:r>
          </w:p>
        </w:tc>
        <w:tc>
          <w:tcPr>
            <w:tcW w:w="2412" w:type="dxa"/>
            <w:tcBorders>
              <w:right w:val="nil"/>
            </w:tcBorders>
            <w:vAlign w:val="center"/>
          </w:tcPr>
          <w:p w14:paraId="3426A672" w14:textId="00D96166" w:rsidR="003E4026" w:rsidRPr="00BC41F0" w:rsidRDefault="004B7BCA" w:rsidP="006173CE">
            <w:pPr>
              <w:jc w:val="center"/>
            </w:pPr>
            <w:r w:rsidRPr="00BC41F0">
              <w:t>$</w:t>
            </w:r>
            <w:r w:rsidR="00FB3FD9" w:rsidRPr="00BC41F0">
              <w:t>1</w:t>
            </w:r>
            <w:r w:rsidR="0071317A" w:rsidRPr="00BC41F0">
              <w:t>.29</w:t>
            </w:r>
          </w:p>
        </w:tc>
      </w:tr>
      <w:tr w:rsidR="006B019B" w:rsidRPr="00DD1045" w14:paraId="73194E93" w14:textId="77777777" w:rsidTr="008D7EDE">
        <w:trPr>
          <w:trHeight w:val="91"/>
        </w:trPr>
        <w:tc>
          <w:tcPr>
            <w:tcW w:w="9070" w:type="dxa"/>
            <w:gridSpan w:val="3"/>
            <w:tcBorders>
              <w:left w:val="nil"/>
              <w:bottom w:val="single" w:sz="8" w:space="0" w:color="E7E6E6"/>
              <w:right w:val="nil"/>
            </w:tcBorders>
            <w:shd w:val="clear" w:color="auto" w:fill="F2F2F2" w:themeFill="background1" w:themeFillShade="F2"/>
            <w:vAlign w:val="center"/>
          </w:tcPr>
          <w:p w14:paraId="1C974AB2" w14:textId="33CF5979" w:rsidR="003E4026" w:rsidRPr="00BC41F0" w:rsidRDefault="003E4026" w:rsidP="006173CE">
            <w:pPr>
              <w:pStyle w:val="ARDotpoints"/>
              <w:numPr>
                <w:ilvl w:val="0"/>
                <w:numId w:val="0"/>
              </w:numPr>
              <w:rPr>
                <w:b/>
                <w:bCs/>
              </w:rPr>
            </w:pPr>
            <w:r w:rsidRPr="00BC41F0">
              <w:rPr>
                <w:b/>
                <w:bCs/>
              </w:rPr>
              <w:t>Experience</w:t>
            </w:r>
          </w:p>
        </w:tc>
      </w:tr>
      <w:tr w:rsidR="00065189" w:rsidRPr="00DD1045" w14:paraId="1895D799" w14:textId="77777777" w:rsidTr="008D7EDE">
        <w:trPr>
          <w:trHeight w:val="91"/>
        </w:trPr>
        <w:tc>
          <w:tcPr>
            <w:tcW w:w="4106" w:type="dxa"/>
            <w:tcBorders>
              <w:left w:val="nil"/>
              <w:bottom w:val="single" w:sz="18" w:space="0" w:color="E7E6E6"/>
            </w:tcBorders>
            <w:vAlign w:val="center"/>
          </w:tcPr>
          <w:p w14:paraId="445B7157" w14:textId="18B3BCF3" w:rsidR="003E4026" w:rsidRPr="00DD1045" w:rsidRDefault="008A1961" w:rsidP="006173CE">
            <w:pPr>
              <w:pStyle w:val="ARDotpoints"/>
              <w:numPr>
                <w:ilvl w:val="0"/>
                <w:numId w:val="0"/>
              </w:numPr>
            </w:pPr>
            <w:r w:rsidRPr="00DD1045">
              <w:t>Customer experience measure</w:t>
            </w:r>
            <w:r w:rsidR="006173CE" w:rsidRPr="00DD1045">
              <w:t xml:space="preserve"> </w:t>
            </w:r>
            <w:r w:rsidR="006173CE" w:rsidRPr="00DD1045">
              <w:br/>
              <w:t>(injured workers and employers)</w:t>
            </w:r>
          </w:p>
        </w:tc>
        <w:tc>
          <w:tcPr>
            <w:tcW w:w="2552" w:type="dxa"/>
            <w:tcBorders>
              <w:bottom w:val="single" w:sz="18" w:space="0" w:color="E7E6E6"/>
            </w:tcBorders>
            <w:vAlign w:val="center"/>
          </w:tcPr>
          <w:p w14:paraId="031802CE" w14:textId="6184B943" w:rsidR="003E4026" w:rsidRPr="00DD1045" w:rsidRDefault="00C0626D" w:rsidP="006173CE">
            <w:pPr>
              <w:jc w:val="center"/>
            </w:pPr>
            <w:r>
              <w:t>7.5</w:t>
            </w:r>
            <w:r w:rsidR="004B7BCA" w:rsidRPr="00DD1045">
              <w:t xml:space="preserve"> / 10</w:t>
            </w:r>
          </w:p>
        </w:tc>
        <w:tc>
          <w:tcPr>
            <w:tcW w:w="2412" w:type="dxa"/>
            <w:tcBorders>
              <w:bottom w:val="single" w:sz="18" w:space="0" w:color="E7E6E6"/>
              <w:right w:val="nil"/>
            </w:tcBorders>
            <w:vAlign w:val="center"/>
          </w:tcPr>
          <w:p w14:paraId="4B305767" w14:textId="0D8DF082" w:rsidR="003E4026" w:rsidRPr="00BC41F0" w:rsidRDefault="0071317A" w:rsidP="006173CE">
            <w:pPr>
              <w:jc w:val="center"/>
            </w:pPr>
            <w:r w:rsidRPr="00BC41F0">
              <w:t>7.2</w:t>
            </w:r>
            <w:r w:rsidR="004B7BCA" w:rsidRPr="00BC41F0">
              <w:t>/ 10</w:t>
            </w:r>
          </w:p>
        </w:tc>
      </w:tr>
    </w:tbl>
    <w:p w14:paraId="64E2725C" w14:textId="77777777" w:rsidR="003642E9" w:rsidRPr="00DD1045" w:rsidRDefault="003642E9" w:rsidP="003642E9">
      <w:pPr>
        <w:rPr>
          <w:rFonts w:ascii="Segoe UI" w:hAnsi="Segoe UI"/>
          <w:sz w:val="18"/>
          <w:szCs w:val="18"/>
          <w:lang w:eastAsia="en-AU"/>
        </w:rPr>
      </w:pPr>
    </w:p>
    <w:p w14:paraId="192BDC3F" w14:textId="77777777" w:rsidR="00824F6B" w:rsidRDefault="00824F6B" w:rsidP="00847562">
      <w:pPr>
        <w:pStyle w:val="ARHeading1"/>
      </w:pPr>
    </w:p>
    <w:p w14:paraId="67FBD875" w14:textId="77777777" w:rsidR="00C20BDE" w:rsidRPr="00DD1045" w:rsidRDefault="00C20BDE" w:rsidP="00847562">
      <w:pPr>
        <w:pStyle w:val="ARHeading1"/>
        <w:sectPr w:rsidR="00C20BDE" w:rsidRPr="00DD1045" w:rsidSect="0012721E">
          <w:type w:val="continuous"/>
          <w:pgSz w:w="11906" w:h="16838"/>
          <w:pgMar w:top="1440" w:right="1440" w:bottom="1440" w:left="1440" w:header="708" w:footer="708" w:gutter="0"/>
          <w:cols w:space="708"/>
          <w:docGrid w:linePitch="360"/>
        </w:sectPr>
      </w:pPr>
    </w:p>
    <w:p w14:paraId="15EE0E54" w14:textId="3EDAC97E" w:rsidR="00847562" w:rsidRPr="00DD1045" w:rsidRDefault="00847562" w:rsidP="00847562">
      <w:pPr>
        <w:pStyle w:val="ARHeading1"/>
      </w:pPr>
      <w:bookmarkStart w:id="64" w:name="_Toc172009685"/>
      <w:r>
        <w:t>Capital structure and payments to the consolidated fund</w:t>
      </w:r>
      <w:r w:rsidR="285B0A65">
        <w:t xml:space="preserve"> </w:t>
      </w:r>
      <w:bookmarkEnd w:id="64"/>
    </w:p>
    <w:p w14:paraId="68A8678F" w14:textId="4B3C3B42" w:rsidR="00847562" w:rsidRDefault="00847562" w:rsidP="00847562">
      <w:r w:rsidRPr="00DD1045">
        <w:t>In accordance with</w:t>
      </w:r>
      <w:r w:rsidR="004E4DD5">
        <w:t xml:space="preserve"> the </w:t>
      </w:r>
      <w:r w:rsidR="002A3A76" w:rsidRPr="002A3A76">
        <w:rPr>
          <w:i/>
          <w:iCs/>
        </w:rPr>
        <w:t>Workers’ Compensation and Rehabilitation Act 2003</w:t>
      </w:r>
      <w:r w:rsidRPr="00DD1045">
        <w:t xml:space="preserve"> </w:t>
      </w:r>
      <w:r w:rsidR="00D934C5">
        <w:t>(</w:t>
      </w:r>
      <w:r w:rsidRPr="007C5172">
        <w:t>the Act</w:t>
      </w:r>
      <w:r w:rsidR="00D934C5">
        <w:t>)</w:t>
      </w:r>
      <w:r w:rsidRPr="00DD1045">
        <w:t xml:space="preserve">, WorkCover is taken to be fully funded if it is able to meet its liabilities for compensation and damages payable from its funds and accounts and maintain capital adequacy as required under the </w:t>
      </w:r>
      <w:r w:rsidRPr="0093544D">
        <w:rPr>
          <w:i/>
        </w:rPr>
        <w:t>Workers’ Compensation and Rehabilitation Regulation 2014</w:t>
      </w:r>
      <w:r w:rsidRPr="00DD1045">
        <w:t xml:space="preserve"> (</w:t>
      </w:r>
      <w:r w:rsidRPr="007C5172">
        <w:t>the Regulation</w:t>
      </w:r>
      <w:r w:rsidRPr="00DD1045">
        <w:t>). The Regulation states that in order to maintain capital adequacy, WorkCover’s total assets must at least be equal to total liabilities (this correlates to a funding ratio of 100%). </w:t>
      </w:r>
    </w:p>
    <w:p w14:paraId="7D416D97" w14:textId="77777777" w:rsidR="00C20BDE" w:rsidRPr="00DD1045" w:rsidRDefault="00C20BDE" w:rsidP="00847562"/>
    <w:p w14:paraId="1F99B7E3" w14:textId="6FA15913" w:rsidR="00847562" w:rsidRPr="00DD1045" w:rsidRDefault="00847562" w:rsidP="00847562">
      <w:r w:rsidRPr="00DD1045">
        <w:t xml:space="preserve">The Act allows for payments to be made to the consolidated fund. The WorkCover Board will make a recommendation to the Minister with respect to such a payment (if any) following certification of the </w:t>
      </w:r>
      <w:r w:rsidRPr="00BC41F0">
        <w:t>202</w:t>
      </w:r>
      <w:r w:rsidR="00F00F7F" w:rsidRPr="00BC41F0">
        <w:t>3</w:t>
      </w:r>
      <w:r w:rsidRPr="00BC41F0">
        <w:t>–202</w:t>
      </w:r>
      <w:r w:rsidR="00F00F7F" w:rsidRPr="00BC41F0">
        <w:t>4</w:t>
      </w:r>
      <w:r w:rsidRPr="00DD1045">
        <w:t xml:space="preserve"> financial statements. </w:t>
      </w:r>
    </w:p>
    <w:p w14:paraId="67303842" w14:textId="1495F7B1" w:rsidR="00847562" w:rsidRPr="00DD1045" w:rsidRDefault="00847562" w:rsidP="00847562">
      <w:r w:rsidRPr="00DD1045">
        <w:t>Each year the Workers’ Compensation Regulator levy and the Workplace Health and Safety Queensland grant are payments made in accordance with the Minister's instruction (as approved by the Governor-in-Council by gazette notice) for the prevention, recognition and alleviation of injury to workers, making employers and workers aware of their rights and obligations, and scheme-wide rehabilitation and return to work programs for workers. </w:t>
      </w:r>
    </w:p>
    <w:p w14:paraId="3FEB300A" w14:textId="77777777" w:rsidR="00847562" w:rsidRDefault="00847562" w:rsidP="00847562">
      <w:r w:rsidRPr="00DD1045">
        <w:t> </w:t>
      </w:r>
    </w:p>
    <w:p w14:paraId="3C9ED756" w14:textId="36A8BF60" w:rsidR="00847562" w:rsidRPr="00DD1045" w:rsidRDefault="00847562" w:rsidP="00847562">
      <w:pPr>
        <w:pStyle w:val="ARHeading1"/>
      </w:pPr>
      <w:bookmarkStart w:id="65" w:name="_Toc172009686"/>
      <w:r w:rsidRPr="00DD1045">
        <w:lastRenderedPageBreak/>
        <w:t>Borrowings made, proposed to be made</w:t>
      </w:r>
      <w:bookmarkEnd w:id="65"/>
    </w:p>
    <w:p w14:paraId="34B7C0B4" w14:textId="77777777" w:rsidR="00847562" w:rsidRPr="00DD1045" w:rsidRDefault="00847562" w:rsidP="00847562">
      <w:r w:rsidRPr="00DD1045">
        <w:t>WorkCover currently has no borrowings and there are none planned for the immediate future. Investment funds are used to manage all cash flow requirements. WorkCover’s borrowing policy is outlined below. </w:t>
      </w:r>
    </w:p>
    <w:p w14:paraId="086897A7" w14:textId="57ED07A4" w:rsidR="00847562" w:rsidRPr="00DD1045" w:rsidRDefault="00847562" w:rsidP="00847562">
      <w:pPr>
        <w:pStyle w:val="ARSub-heading1"/>
      </w:pPr>
      <w:bookmarkStart w:id="66" w:name="_Toc172009687"/>
      <w:r w:rsidRPr="00DD1045">
        <w:t>Investment risk</w:t>
      </w:r>
      <w:bookmarkEnd w:id="66"/>
    </w:p>
    <w:p w14:paraId="2F8EA87A" w14:textId="6265ACBE" w:rsidR="00847562" w:rsidRPr="00DD1045" w:rsidRDefault="00847562" w:rsidP="00847562">
      <w:r w:rsidRPr="00DD1045">
        <w:t>WorkCover has a robust investment management program, maintaining a balanced investment profile with a long-term outlook commensurate with being a long-term insurance operation. WorkCover engages the Queensland Investment Corporation (</w:t>
      </w:r>
      <w:r w:rsidRPr="001374DB">
        <w:t>QIC</w:t>
      </w:r>
      <w:r w:rsidRPr="00DD1045">
        <w:t>) as investment manager, and Mercer to assist with independent investment portfolio oversight and governance. </w:t>
      </w:r>
    </w:p>
    <w:p w14:paraId="0EE21CC0" w14:textId="12EE14A6" w:rsidR="00847562" w:rsidRPr="00DD1045" w:rsidRDefault="00847562" w:rsidP="00847562">
      <w:r w:rsidRPr="00DD1045">
        <w:t>A strong Investment Management Agreement governs WorkCover’s arrangement with QIC. In addition, the WorkCover Board monitors investments at each meeting and receives regular presentations from QIC. The Board reviews the investment strategy annually, and an independent review framework exists to continuously monitor the investments management program through focused quarterly reviews, including a holistic external strategy review every two years. </w:t>
      </w:r>
    </w:p>
    <w:p w14:paraId="1375AFB8" w14:textId="6133F38A" w:rsidR="00847562" w:rsidRPr="00DD1045" w:rsidRDefault="00847562" w:rsidP="00847562">
      <w:r w:rsidRPr="00DD1045">
        <w:t>Derivative instruments are used as part of the investment strategy to hedge foreign exchange risks, rebalance asset classes and to help achieve particular exposures by taking advantage of, and to protect against, market conditions. </w:t>
      </w:r>
    </w:p>
    <w:p w14:paraId="24E2E1A3" w14:textId="278DF38E" w:rsidR="00847562" w:rsidRPr="00DD1045" w:rsidRDefault="00847562" w:rsidP="00847562">
      <w:pPr>
        <w:pStyle w:val="ARSub-heading1"/>
      </w:pPr>
      <w:bookmarkStart w:id="67" w:name="_Toc172009688"/>
      <w:r w:rsidRPr="00DD1045">
        <w:t>Business risk</w:t>
      </w:r>
      <w:bookmarkEnd w:id="67"/>
    </w:p>
    <w:p w14:paraId="2EF7021B" w14:textId="2DA0B912" w:rsidR="00847562" w:rsidRPr="00DD1045" w:rsidRDefault="00847562" w:rsidP="00847562">
      <w:r w:rsidRPr="00DD1045">
        <w:t>WorkCover has a risk management program in place. Risk registers are maintained and monitored by each business group. Strategies to manage risk are incorporated into each group’s business planning process. WorkCover’s Board approves the risk management framework and sets the risk appetite. The WorkCover Risk and Audit Committee is responsible for overseeing the risk management program, including reviewing and monitoring WorkCover’s top strategic risks on a quarterly basis. </w:t>
      </w:r>
    </w:p>
    <w:p w14:paraId="5518A21F" w14:textId="1979C61A" w:rsidR="00847562" w:rsidRPr="00DD1045" w:rsidRDefault="00847562" w:rsidP="00847562">
      <w:pPr>
        <w:pStyle w:val="ARSub-heading1"/>
      </w:pPr>
      <w:bookmarkStart w:id="68" w:name="_Toc172009689"/>
      <w:r w:rsidRPr="00DD1045">
        <w:t>Borrowing risk</w:t>
      </w:r>
      <w:bookmarkEnd w:id="68"/>
    </w:p>
    <w:p w14:paraId="070A608A" w14:textId="11F9A527" w:rsidR="00847562" w:rsidRPr="00DD1045" w:rsidRDefault="00847562" w:rsidP="00847562">
      <w:r w:rsidRPr="00DD1045">
        <w:t xml:space="preserve">The </w:t>
      </w:r>
      <w:r w:rsidR="00AA123B" w:rsidRPr="002A3A76">
        <w:rPr>
          <w:i/>
          <w:iCs/>
        </w:rPr>
        <w:t>Workers’ Compensation and Rehabilitation Act 2003</w:t>
      </w:r>
      <w:r w:rsidR="00AA123B" w:rsidRPr="00DD1045">
        <w:t xml:space="preserve"> </w:t>
      </w:r>
      <w:r w:rsidRPr="00DD1045">
        <w:t>provides the framework for WorkCover’s procedures for borrowing. WorkCover may enter into such arrangements to procure equipment up to an amount and on such terms as it considers appropriate. All financing arrangements will be made in conjunction with Queensland Treasury Corporation (</w:t>
      </w:r>
      <w:r w:rsidRPr="001374DB">
        <w:t>QTC</w:t>
      </w:r>
      <w:r w:rsidRPr="00DD1045">
        <w:t>) in order to establish that applicable rates are competitive and that conditions are appropriate. Board approval will be required for all financing arrangements over pre-defined expenditure limits. All limits are as stated in the WorkCover delegation manual. </w:t>
      </w:r>
    </w:p>
    <w:p w14:paraId="377EE5A9" w14:textId="77777777" w:rsidR="00824F6B" w:rsidRPr="00DD1045" w:rsidRDefault="00824F6B" w:rsidP="00847562"/>
    <w:p w14:paraId="34263266" w14:textId="434AECF7" w:rsidR="00847562" w:rsidRPr="00DD1045" w:rsidRDefault="00847562" w:rsidP="00847562">
      <w:pPr>
        <w:pStyle w:val="ARHeading1"/>
      </w:pPr>
      <w:bookmarkStart w:id="69" w:name="_Toc172009690"/>
      <w:r w:rsidRPr="00DD1045">
        <w:t>Policies and procedures relating to acquisition and disposal of significant assets</w:t>
      </w:r>
      <w:bookmarkEnd w:id="69"/>
    </w:p>
    <w:p w14:paraId="38684999" w14:textId="4A6D7AD1" w:rsidR="00847562" w:rsidRPr="00DD1045" w:rsidRDefault="00847562" w:rsidP="00847562">
      <w:r w:rsidRPr="00DD1045">
        <w:t>In acquiring or disposing of significant assets, WorkCover complies with the Financial and Performance Management Standard 2019 and Queensland Treasury guideline—Non-Current Asset Policies for the Queensland Public Sector. </w:t>
      </w:r>
    </w:p>
    <w:p w14:paraId="13DC448E" w14:textId="642E7C47" w:rsidR="00847562" w:rsidRPr="00DD1045" w:rsidRDefault="00847562" w:rsidP="00847562">
      <w:r w:rsidRPr="00DD1045">
        <w:t>Significant assets may be acquired via purchase, finance lease agreement, donations, or transfer from other government entities. A business case must be submitted to the CEO and/or Deputy CEO seeking approval. The CEO will present any major initiatives to the Board for approval. Approval limits are as stated in the WorkCover delegation manual. </w:t>
      </w:r>
    </w:p>
    <w:p w14:paraId="043ECA7D" w14:textId="113D509D" w:rsidR="00847562" w:rsidRPr="00DD1045" w:rsidRDefault="00847562" w:rsidP="00847562">
      <w:r w:rsidRPr="00DD1045">
        <w:t>When disposing of significant assets, approval must be sought from the appropriate delegated authority. Approval limits are as stated in the WorkCover delegation manual. </w:t>
      </w:r>
    </w:p>
    <w:p w14:paraId="77EADB26" w14:textId="10B60162" w:rsidR="00847562" w:rsidRPr="00DD1045" w:rsidRDefault="00847562" w:rsidP="002E75E4">
      <w:pPr>
        <w:pStyle w:val="ARSub-heading1"/>
      </w:pPr>
      <w:bookmarkStart w:id="70" w:name="_Toc172009691"/>
      <w:r w:rsidRPr="00DD1045">
        <w:t>Accounting policies applying to preparation of accounts</w:t>
      </w:r>
      <w:bookmarkEnd w:id="70"/>
    </w:p>
    <w:p w14:paraId="07E6346C" w14:textId="444621B2" w:rsidR="00847562" w:rsidRPr="00DD1045" w:rsidRDefault="00847562" w:rsidP="00847562">
      <w:r w:rsidRPr="00DD1045">
        <w:t>WorkCover’s accounting policies are outlined each year in the Annual Report and are reviewed as part of the financial statements audit process. More information on accounting policies is provided in WorkCover’s Financial Management Practice Manual (</w:t>
      </w:r>
      <w:r w:rsidRPr="001374DB">
        <w:t>FMPM</w:t>
      </w:r>
      <w:r w:rsidRPr="00DD1045">
        <w:t>). </w:t>
      </w:r>
    </w:p>
    <w:p w14:paraId="2575D134" w14:textId="09F362A7" w:rsidR="00847562" w:rsidRPr="00DD1045" w:rsidRDefault="00847562" w:rsidP="00824F6B">
      <w:pPr>
        <w:pStyle w:val="ARSub-heading1"/>
      </w:pPr>
      <w:bookmarkStart w:id="71" w:name="_Toc172009692"/>
      <w:r w:rsidRPr="00DD1045">
        <w:lastRenderedPageBreak/>
        <w:t>Community service obligations</w:t>
      </w:r>
      <w:bookmarkEnd w:id="71"/>
    </w:p>
    <w:p w14:paraId="33E773AF" w14:textId="77777777" w:rsidR="00847562" w:rsidRPr="00DD1045" w:rsidRDefault="00847562" w:rsidP="00847562">
      <w:r w:rsidRPr="00DD1045">
        <w:t>It is not envisaged that the government will require WorkCover to perform any specific community service obligations. </w:t>
      </w:r>
    </w:p>
    <w:p w14:paraId="514DD877" w14:textId="2596E464" w:rsidR="00847562" w:rsidRPr="00DD1045" w:rsidRDefault="00847562" w:rsidP="00824F6B">
      <w:pPr>
        <w:pStyle w:val="ARSub-heading1"/>
      </w:pPr>
      <w:bookmarkStart w:id="72" w:name="_Toc172009693"/>
      <w:r w:rsidRPr="00DD1045">
        <w:t>Employment and industrial relations plan</w:t>
      </w:r>
      <w:bookmarkEnd w:id="72"/>
    </w:p>
    <w:p w14:paraId="5283F54F" w14:textId="10C93DD8" w:rsidR="00847562" w:rsidRPr="00DD1045" w:rsidRDefault="00847562" w:rsidP="00847562">
      <w:r w:rsidRPr="00DD1045">
        <w:t>WorkCover prepares an employment and industrial relations plan annually in accordance with the Act. </w:t>
      </w:r>
    </w:p>
    <w:p w14:paraId="59D0BC75" w14:textId="77777777" w:rsidR="00824F6B" w:rsidRPr="00DD1045" w:rsidRDefault="00824F6B" w:rsidP="00847562"/>
    <w:p w14:paraId="2B66CC5D" w14:textId="6E66F4BA" w:rsidR="00847562" w:rsidRPr="00DD1045" w:rsidRDefault="00847562" w:rsidP="00824F6B">
      <w:pPr>
        <w:pStyle w:val="ARHeading1"/>
      </w:pPr>
      <w:bookmarkStart w:id="73" w:name="_Toc172009694"/>
      <w:r w:rsidRPr="00DD1045">
        <w:t>Information to be reported to the Minister</w:t>
      </w:r>
      <w:bookmarkEnd w:id="73"/>
    </w:p>
    <w:p w14:paraId="21BADE82" w14:textId="08490C06" w:rsidR="00847562" w:rsidRPr="00DD1045" w:rsidRDefault="00847562" w:rsidP="00824F6B">
      <w:pPr>
        <w:pStyle w:val="ARSub-heading1"/>
      </w:pPr>
      <w:bookmarkStart w:id="74" w:name="_Toc172009695"/>
      <w:r w:rsidRPr="00DD1045">
        <w:t>Quarterly reporting</w:t>
      </w:r>
      <w:bookmarkEnd w:id="74"/>
    </w:p>
    <w:p w14:paraId="18F6E916" w14:textId="77777777" w:rsidR="00847562" w:rsidRPr="00DD1045" w:rsidRDefault="00847562" w:rsidP="00847562">
      <w:r w:rsidRPr="00DD1045">
        <w:t>A quarterly report will be provided to the Minister within one month of the end of the relevant quarter as required by the Act. The report contains information regarding WorkCover’s performance against the Statement of Corporate Intent. </w:t>
      </w:r>
    </w:p>
    <w:p w14:paraId="5358ABE3" w14:textId="15D552EE" w:rsidR="00847562" w:rsidRPr="00DD1045" w:rsidRDefault="00847562" w:rsidP="00824F6B">
      <w:pPr>
        <w:pStyle w:val="ARSub-heading1"/>
      </w:pPr>
      <w:bookmarkStart w:id="75" w:name="_Toc172009696"/>
      <w:r w:rsidRPr="00DD1045">
        <w:t>Annual reporting</w:t>
      </w:r>
      <w:bookmarkEnd w:id="75"/>
    </w:p>
    <w:p w14:paraId="312EDFE1" w14:textId="62C90C0E" w:rsidR="00CF4B4B" w:rsidRDefault="00847562" w:rsidP="00C645DD">
      <w:r w:rsidRPr="00DD1045">
        <w:t xml:space="preserve">A full annual report will be provided to the Minister in accordance with the Act and in compliance with the </w:t>
      </w:r>
      <w:hyperlink r:id="rId30" w:tgtFrame="_blank" w:history="1">
        <w:r w:rsidRPr="001A59CC">
          <w:rPr>
            <w:rStyle w:val="Hyperlink"/>
            <w:i/>
            <w:iCs/>
            <w:color w:val="auto"/>
          </w:rPr>
          <w:t>Financial and Performance Management Standard 2019</w:t>
        </w:r>
      </w:hyperlink>
      <w:r w:rsidR="00A637F0">
        <w:t xml:space="preserve"> (</w:t>
      </w:r>
      <w:r w:rsidR="00A637F0" w:rsidRPr="00A845EA">
        <w:rPr>
          <w:u w:val="single"/>
        </w:rPr>
        <w:t>https://www.</w:t>
      </w:r>
      <w:r w:rsidR="004A6821">
        <w:rPr>
          <w:u w:val="single"/>
        </w:rPr>
        <w:br/>
      </w:r>
      <w:r w:rsidR="00A637F0" w:rsidRPr="00A845EA">
        <w:rPr>
          <w:u w:val="single"/>
        </w:rPr>
        <w:t>legislation.qld.gov.au/view/pdf/asmade/sl-2019-0182</w:t>
      </w:r>
      <w:r w:rsidR="00A637F0">
        <w:t>),</w:t>
      </w:r>
      <w:r w:rsidRPr="00DD1045">
        <w:t xml:space="preserve"> which requires WorkCover to give the annual report to the Minister to allow the report to be tabled in the Legislative Assembly within three months after the conclusion of each financial year.</w:t>
      </w:r>
    </w:p>
    <w:p w14:paraId="6ACCA419" w14:textId="77777777" w:rsidR="00A637F0" w:rsidRDefault="00A637F0" w:rsidP="00C645DD"/>
    <w:p w14:paraId="2BFBE6AE" w14:textId="77777777" w:rsidR="00993789" w:rsidRDefault="00993789" w:rsidP="00C645DD"/>
    <w:p w14:paraId="40BFADCA" w14:textId="77777777" w:rsidR="00993789" w:rsidRDefault="00993789" w:rsidP="00C645DD"/>
    <w:p w14:paraId="13FFC78C" w14:textId="77777777" w:rsidR="00993789" w:rsidRDefault="00993789" w:rsidP="00C645DD"/>
    <w:p w14:paraId="31B9F1B9" w14:textId="77777777" w:rsidR="00993789" w:rsidRDefault="00993789" w:rsidP="00C645DD"/>
    <w:p w14:paraId="0611F217" w14:textId="77777777" w:rsidR="00993789" w:rsidRDefault="00993789" w:rsidP="00C645DD"/>
    <w:p w14:paraId="5F9DD6EF" w14:textId="77777777" w:rsidR="00993789" w:rsidRDefault="00993789" w:rsidP="00C645DD"/>
    <w:p w14:paraId="28C9964E" w14:textId="77777777" w:rsidR="00993789" w:rsidRDefault="00993789" w:rsidP="00C645DD"/>
    <w:p w14:paraId="1E0EE5F8" w14:textId="77777777" w:rsidR="00993789" w:rsidRDefault="00993789" w:rsidP="00C645DD"/>
    <w:p w14:paraId="123ED5A2" w14:textId="77777777" w:rsidR="00993789" w:rsidRDefault="00993789" w:rsidP="00C645DD"/>
    <w:p w14:paraId="1FD0BA4D" w14:textId="77777777" w:rsidR="00993789" w:rsidRDefault="00993789" w:rsidP="00C645DD"/>
    <w:p w14:paraId="1EC3C0CA" w14:textId="77777777" w:rsidR="00993789" w:rsidRDefault="00993789" w:rsidP="00C645DD"/>
    <w:p w14:paraId="64D0F2F3" w14:textId="77777777" w:rsidR="00993789" w:rsidRDefault="00993789" w:rsidP="00C645DD"/>
    <w:p w14:paraId="1E18F821" w14:textId="77777777" w:rsidR="00993789" w:rsidRDefault="00993789" w:rsidP="00C645DD"/>
    <w:p w14:paraId="78866351" w14:textId="77777777" w:rsidR="00993789" w:rsidRDefault="00993789" w:rsidP="00C645DD"/>
    <w:p w14:paraId="2377DA90" w14:textId="77777777" w:rsidR="00993789" w:rsidRDefault="00993789" w:rsidP="00C645DD"/>
    <w:p w14:paraId="7267F32D" w14:textId="77777777" w:rsidR="00993789" w:rsidRDefault="00993789" w:rsidP="00C645DD"/>
    <w:p w14:paraId="28C3680F" w14:textId="77777777" w:rsidR="00993789" w:rsidRDefault="00993789" w:rsidP="00C645DD"/>
    <w:p w14:paraId="22DCC362" w14:textId="77777777" w:rsidR="00993789" w:rsidRDefault="00993789" w:rsidP="00C645DD"/>
    <w:p w14:paraId="2B1447B3" w14:textId="77777777" w:rsidR="00993789" w:rsidRDefault="00993789" w:rsidP="00C645DD"/>
    <w:p w14:paraId="21D6F224" w14:textId="77777777" w:rsidR="00993789" w:rsidRDefault="00993789" w:rsidP="00C645DD"/>
    <w:p w14:paraId="65E8BAC0" w14:textId="77777777" w:rsidR="00993789" w:rsidRDefault="00993789" w:rsidP="00C645DD"/>
    <w:p w14:paraId="63F9ECF4" w14:textId="77777777" w:rsidR="00993789" w:rsidRDefault="00993789" w:rsidP="00C645DD"/>
    <w:p w14:paraId="73DD642C" w14:textId="39FA8D95" w:rsidR="00CF4B4B" w:rsidRDefault="00CF4B4B" w:rsidP="00C645DD">
      <w:pPr>
        <w:rPr>
          <w:rFonts w:eastAsia="Times New Roman" w:cs="Segoe UI"/>
          <w:color w:val="202020"/>
          <w:kern w:val="0"/>
          <w:lang w:eastAsia="en-AU"/>
          <w14:ligatures w14:val="none"/>
        </w:rPr>
        <w:sectPr w:rsidR="00CF4B4B" w:rsidSect="00993789">
          <w:type w:val="continuous"/>
          <w:pgSz w:w="11906" w:h="16838"/>
          <w:pgMar w:top="1440" w:right="1440" w:bottom="1440" w:left="1440" w:header="708" w:footer="708" w:gutter="0"/>
          <w:cols w:num="2" w:space="708"/>
          <w:docGrid w:linePitch="360"/>
        </w:sectPr>
      </w:pPr>
    </w:p>
    <w:p w14:paraId="066E924D" w14:textId="77777777" w:rsidR="00993789" w:rsidRDefault="00993789" w:rsidP="003642E9">
      <w:pPr>
        <w:spacing w:after="0" w:line="240" w:lineRule="auto"/>
        <w:textAlignment w:val="baseline"/>
        <w:rPr>
          <w:rFonts w:eastAsia="Times New Roman" w:cs="Segoe UI"/>
          <w:color w:val="202020"/>
          <w:kern w:val="0"/>
          <w:lang w:eastAsia="en-AU"/>
          <w14:ligatures w14:val="none"/>
        </w:rPr>
        <w:sectPr w:rsidR="00993789" w:rsidSect="0012721E">
          <w:type w:val="continuous"/>
          <w:pgSz w:w="11906" w:h="16838"/>
          <w:pgMar w:top="1440" w:right="1440" w:bottom="1440" w:left="1440" w:header="708" w:footer="708" w:gutter="0"/>
          <w:cols w:num="2" w:space="708"/>
          <w:docGrid w:linePitch="360"/>
        </w:sectPr>
      </w:pPr>
    </w:p>
    <w:p w14:paraId="5A84C178" w14:textId="77777777" w:rsidR="00824F6B" w:rsidRPr="00DD1045" w:rsidRDefault="00824F6B" w:rsidP="003642E9">
      <w:pPr>
        <w:spacing w:after="0" w:line="240" w:lineRule="auto"/>
        <w:textAlignment w:val="baseline"/>
        <w:rPr>
          <w:rFonts w:eastAsia="Times New Roman" w:cs="Segoe UI"/>
          <w:color w:val="202020"/>
          <w:kern w:val="0"/>
          <w:lang w:eastAsia="en-AU"/>
          <w14:ligatures w14:val="none"/>
        </w:rPr>
      </w:pPr>
    </w:p>
    <w:p w14:paraId="1D8793E9" w14:textId="77777777" w:rsidR="00824F6B" w:rsidRPr="00DD1045" w:rsidRDefault="00824F6B" w:rsidP="003642E9">
      <w:pPr>
        <w:spacing w:after="0" w:line="240" w:lineRule="auto"/>
        <w:textAlignment w:val="baseline"/>
        <w:rPr>
          <w:rFonts w:eastAsia="Times New Roman" w:cs="Segoe UI"/>
          <w:color w:val="202020"/>
          <w:kern w:val="0"/>
          <w:lang w:eastAsia="en-AU"/>
          <w14:ligatures w14:val="none"/>
        </w:rPr>
      </w:pPr>
    </w:p>
    <w:p w14:paraId="044C1F96" w14:textId="77777777" w:rsidR="00824F6B" w:rsidRPr="00DD1045" w:rsidRDefault="00824F6B" w:rsidP="003642E9">
      <w:pPr>
        <w:spacing w:after="0" w:line="240" w:lineRule="auto"/>
        <w:textAlignment w:val="baseline"/>
        <w:rPr>
          <w:rFonts w:eastAsia="Times New Roman" w:cs="Segoe UI"/>
          <w:color w:val="202020"/>
          <w:kern w:val="0"/>
          <w:lang w:eastAsia="en-AU"/>
          <w14:ligatures w14:val="none"/>
        </w:rPr>
      </w:pPr>
    </w:p>
    <w:p w14:paraId="660C0C35" w14:textId="77777777" w:rsidR="00824F6B" w:rsidRPr="00DD1045" w:rsidRDefault="00824F6B" w:rsidP="003642E9">
      <w:pPr>
        <w:spacing w:after="0" w:line="240" w:lineRule="auto"/>
        <w:textAlignment w:val="baseline"/>
        <w:rPr>
          <w:rFonts w:eastAsia="Times New Roman" w:cs="Segoe UI"/>
          <w:color w:val="202020"/>
          <w:kern w:val="0"/>
          <w:lang w:eastAsia="en-AU"/>
          <w14:ligatures w14:val="none"/>
        </w:rPr>
      </w:pPr>
    </w:p>
    <w:p w14:paraId="048F61AA" w14:textId="77777777" w:rsidR="00824F6B" w:rsidRPr="00DD1045" w:rsidRDefault="00824F6B" w:rsidP="003642E9">
      <w:pPr>
        <w:spacing w:after="0" w:line="240" w:lineRule="auto"/>
        <w:textAlignment w:val="baseline"/>
        <w:rPr>
          <w:rFonts w:eastAsia="Times New Roman" w:cs="Segoe UI"/>
          <w:color w:val="202020"/>
          <w:kern w:val="0"/>
          <w:lang w:eastAsia="en-AU"/>
          <w14:ligatures w14:val="none"/>
        </w:rPr>
      </w:pPr>
    </w:p>
    <w:p w14:paraId="70F4CFEA" w14:textId="77777777" w:rsidR="00824F6B" w:rsidRPr="00DD1045" w:rsidRDefault="00824F6B" w:rsidP="003642E9">
      <w:pPr>
        <w:spacing w:after="0" w:line="240" w:lineRule="auto"/>
        <w:textAlignment w:val="baseline"/>
        <w:rPr>
          <w:rFonts w:eastAsia="Times New Roman" w:cs="Segoe UI"/>
          <w:color w:val="202020"/>
          <w:kern w:val="0"/>
          <w:lang w:eastAsia="en-AU"/>
          <w14:ligatures w14:val="none"/>
        </w:rPr>
      </w:pPr>
    </w:p>
    <w:p w14:paraId="486FF272" w14:textId="77777777" w:rsidR="00975F7E" w:rsidRDefault="00975F7E" w:rsidP="003642E9">
      <w:pPr>
        <w:spacing w:after="0" w:line="240" w:lineRule="auto"/>
        <w:textAlignment w:val="baseline"/>
        <w:rPr>
          <w:rFonts w:eastAsia="Times New Roman" w:cs="Segoe UI"/>
          <w:color w:val="202020"/>
          <w:kern w:val="0"/>
          <w:lang w:eastAsia="en-AU"/>
          <w14:ligatures w14:val="none"/>
        </w:rPr>
      </w:pPr>
    </w:p>
    <w:p w14:paraId="47E84EF6" w14:textId="77777777" w:rsidR="00975F7E" w:rsidRDefault="00975F7E" w:rsidP="003642E9">
      <w:pPr>
        <w:spacing w:after="0" w:line="240" w:lineRule="auto"/>
        <w:textAlignment w:val="baseline"/>
        <w:rPr>
          <w:rFonts w:eastAsia="Times New Roman" w:cs="Segoe UI"/>
          <w:color w:val="202020"/>
          <w:kern w:val="0"/>
          <w:lang w:eastAsia="en-AU"/>
          <w14:ligatures w14:val="none"/>
        </w:rPr>
      </w:pPr>
    </w:p>
    <w:p w14:paraId="222CD549" w14:textId="77777777" w:rsidR="00975F7E" w:rsidRDefault="00975F7E" w:rsidP="003642E9">
      <w:pPr>
        <w:spacing w:after="0" w:line="240" w:lineRule="auto"/>
        <w:textAlignment w:val="baseline"/>
        <w:rPr>
          <w:rFonts w:eastAsia="Times New Roman" w:cs="Segoe UI"/>
          <w:color w:val="202020"/>
          <w:kern w:val="0"/>
          <w:lang w:eastAsia="en-AU"/>
          <w14:ligatures w14:val="none"/>
        </w:rPr>
      </w:pPr>
    </w:p>
    <w:p w14:paraId="21983944" w14:textId="77777777" w:rsidR="00975F7E" w:rsidRDefault="00975F7E" w:rsidP="003642E9">
      <w:pPr>
        <w:spacing w:after="0" w:line="240" w:lineRule="auto"/>
        <w:textAlignment w:val="baseline"/>
        <w:rPr>
          <w:rFonts w:eastAsia="Times New Roman" w:cs="Segoe UI"/>
          <w:color w:val="202020"/>
          <w:kern w:val="0"/>
          <w:lang w:eastAsia="en-AU"/>
          <w14:ligatures w14:val="none"/>
        </w:rPr>
      </w:pPr>
    </w:p>
    <w:p w14:paraId="004E0B77" w14:textId="77777777" w:rsidR="00975F7E" w:rsidRDefault="00975F7E" w:rsidP="003642E9">
      <w:pPr>
        <w:spacing w:after="0" w:line="240" w:lineRule="auto"/>
        <w:textAlignment w:val="baseline"/>
        <w:rPr>
          <w:rFonts w:eastAsia="Times New Roman" w:cs="Segoe UI"/>
          <w:color w:val="202020"/>
          <w:kern w:val="0"/>
          <w:lang w:eastAsia="en-AU"/>
          <w14:ligatures w14:val="none"/>
        </w:rPr>
      </w:pPr>
    </w:p>
    <w:p w14:paraId="116048D2" w14:textId="77777777" w:rsidR="00975F7E" w:rsidRDefault="00975F7E" w:rsidP="003642E9">
      <w:pPr>
        <w:spacing w:after="0" w:line="240" w:lineRule="auto"/>
        <w:textAlignment w:val="baseline"/>
        <w:rPr>
          <w:rFonts w:eastAsia="Times New Roman" w:cs="Segoe UI"/>
          <w:color w:val="202020"/>
          <w:kern w:val="0"/>
          <w:lang w:eastAsia="en-AU"/>
          <w14:ligatures w14:val="none"/>
        </w:rPr>
      </w:pPr>
    </w:p>
    <w:p w14:paraId="07825EF6" w14:textId="77777777" w:rsidR="00975F7E" w:rsidRDefault="00975F7E" w:rsidP="003642E9">
      <w:pPr>
        <w:spacing w:after="0" w:line="240" w:lineRule="auto"/>
        <w:textAlignment w:val="baseline"/>
        <w:rPr>
          <w:rFonts w:eastAsia="Times New Roman" w:cs="Segoe UI"/>
          <w:color w:val="202020"/>
          <w:kern w:val="0"/>
          <w:lang w:eastAsia="en-AU"/>
          <w14:ligatures w14:val="none"/>
        </w:rPr>
      </w:pPr>
    </w:p>
    <w:p w14:paraId="6815D4BE" w14:textId="77777777" w:rsidR="00975F7E" w:rsidRDefault="00975F7E" w:rsidP="003642E9">
      <w:pPr>
        <w:spacing w:after="0" w:line="240" w:lineRule="auto"/>
        <w:textAlignment w:val="baseline"/>
        <w:rPr>
          <w:rFonts w:eastAsia="Times New Roman" w:cs="Segoe UI"/>
          <w:color w:val="202020"/>
          <w:kern w:val="0"/>
          <w:lang w:eastAsia="en-AU"/>
          <w14:ligatures w14:val="none"/>
        </w:rPr>
      </w:pPr>
    </w:p>
    <w:p w14:paraId="6194C139" w14:textId="77777777" w:rsidR="00975F7E" w:rsidRPr="00DD1045" w:rsidRDefault="00975F7E" w:rsidP="003642E9">
      <w:pPr>
        <w:spacing w:after="0" w:line="240" w:lineRule="auto"/>
        <w:textAlignment w:val="baseline"/>
        <w:rPr>
          <w:rFonts w:eastAsia="Times New Roman" w:cs="Segoe UI"/>
          <w:color w:val="202020"/>
          <w:kern w:val="0"/>
          <w:lang w:eastAsia="en-AU"/>
          <w14:ligatures w14:val="none"/>
        </w:rPr>
      </w:pPr>
    </w:p>
    <w:p w14:paraId="7A5FF147" w14:textId="77777777" w:rsidR="00824F6B" w:rsidRPr="00DD1045" w:rsidRDefault="00824F6B" w:rsidP="003642E9">
      <w:pPr>
        <w:spacing w:after="0" w:line="240" w:lineRule="auto"/>
        <w:textAlignment w:val="baseline"/>
        <w:rPr>
          <w:rFonts w:eastAsia="Times New Roman" w:cs="Segoe UI"/>
          <w:color w:val="202020"/>
          <w:kern w:val="0"/>
          <w:lang w:eastAsia="en-AU"/>
          <w14:ligatures w14:val="none"/>
        </w:rPr>
      </w:pPr>
    </w:p>
    <w:p w14:paraId="2C98CB44" w14:textId="77777777" w:rsidR="00824F6B" w:rsidRPr="00DD1045" w:rsidRDefault="00824F6B" w:rsidP="003642E9">
      <w:pPr>
        <w:spacing w:after="0" w:line="240" w:lineRule="auto"/>
        <w:textAlignment w:val="baseline"/>
        <w:rPr>
          <w:rFonts w:eastAsia="Times New Roman" w:cs="Segoe UI"/>
          <w:color w:val="202020"/>
          <w:kern w:val="0"/>
          <w:lang w:eastAsia="en-AU"/>
          <w14:ligatures w14:val="none"/>
        </w:rPr>
      </w:pPr>
    </w:p>
    <w:p w14:paraId="23FB14DF" w14:textId="77777777" w:rsidR="00824F6B" w:rsidRPr="00DD1045" w:rsidRDefault="00824F6B" w:rsidP="003642E9">
      <w:pPr>
        <w:spacing w:after="0" w:line="240" w:lineRule="auto"/>
        <w:textAlignment w:val="baseline"/>
        <w:rPr>
          <w:rFonts w:eastAsia="Times New Roman" w:cs="Segoe UI"/>
          <w:color w:val="202020"/>
          <w:kern w:val="0"/>
          <w:lang w:eastAsia="en-AU"/>
          <w14:ligatures w14:val="none"/>
        </w:rPr>
      </w:pPr>
    </w:p>
    <w:p w14:paraId="5D8023FA" w14:textId="77777777" w:rsidR="00824F6B" w:rsidRPr="00DD1045" w:rsidRDefault="00824F6B" w:rsidP="003642E9">
      <w:pPr>
        <w:spacing w:after="0" w:line="240" w:lineRule="auto"/>
        <w:textAlignment w:val="baseline"/>
        <w:rPr>
          <w:rFonts w:eastAsia="Times New Roman" w:cs="Segoe UI"/>
          <w:color w:val="202020"/>
          <w:kern w:val="0"/>
          <w:lang w:eastAsia="en-AU"/>
          <w14:ligatures w14:val="none"/>
        </w:rPr>
      </w:pPr>
    </w:p>
    <w:p w14:paraId="43ABF458" w14:textId="77777777" w:rsidR="00824F6B" w:rsidRPr="00DD1045" w:rsidRDefault="00824F6B" w:rsidP="003642E9">
      <w:pPr>
        <w:spacing w:after="0" w:line="240" w:lineRule="auto"/>
        <w:textAlignment w:val="baseline"/>
        <w:rPr>
          <w:rFonts w:eastAsia="Times New Roman" w:cs="Segoe UI"/>
          <w:color w:val="202020"/>
          <w:kern w:val="0"/>
          <w:lang w:eastAsia="en-AU"/>
          <w14:ligatures w14:val="none"/>
        </w:rPr>
        <w:sectPr w:rsidR="00824F6B" w:rsidRPr="00DD1045" w:rsidSect="0012721E">
          <w:type w:val="continuous"/>
          <w:pgSz w:w="11906" w:h="16838"/>
          <w:pgMar w:top="1440" w:right="1440" w:bottom="1440" w:left="1440" w:header="708" w:footer="708" w:gutter="0"/>
          <w:cols w:num="2" w:space="708"/>
          <w:docGrid w:linePitch="360"/>
        </w:sectPr>
      </w:pPr>
    </w:p>
    <w:p w14:paraId="7E94FEA3" w14:textId="7292338E" w:rsidR="002E4A02" w:rsidRPr="00DD1045" w:rsidRDefault="002E4A02" w:rsidP="476CCBC5">
      <w:pPr>
        <w:pStyle w:val="ARMainTitle"/>
        <w:pBdr>
          <w:bottom w:val="single" w:sz="4" w:space="1" w:color="auto"/>
        </w:pBdr>
      </w:pPr>
      <w:bookmarkStart w:id="76" w:name="_Toc172009697"/>
      <w:r>
        <w:lastRenderedPageBreak/>
        <w:t>Claims costs and claims management</w:t>
      </w:r>
      <w:bookmarkEnd w:id="76"/>
      <w:r w:rsidR="000B650E">
        <w:t xml:space="preserve"> </w:t>
      </w:r>
    </w:p>
    <w:p w14:paraId="1320BAB9" w14:textId="77777777" w:rsidR="00DE3008" w:rsidRDefault="00DE3008" w:rsidP="00D51518">
      <w:pPr>
        <w:pStyle w:val="ARSub-heading2"/>
        <w:sectPr w:rsidR="00DE3008" w:rsidSect="0012721E">
          <w:type w:val="continuous"/>
          <w:pgSz w:w="11906" w:h="16838"/>
          <w:pgMar w:top="1440" w:right="1440" w:bottom="1440" w:left="1440" w:header="708" w:footer="708" w:gutter="0"/>
          <w:cols w:space="708"/>
          <w:docGrid w:linePitch="360"/>
        </w:sectPr>
      </w:pPr>
      <w:bookmarkStart w:id="77" w:name="_Toc172009698"/>
    </w:p>
    <w:p w14:paraId="286CC015" w14:textId="77777777" w:rsidR="0062286F" w:rsidRPr="00DD1045" w:rsidRDefault="0062286F" w:rsidP="0062286F">
      <w:pPr>
        <w:pStyle w:val="ARHeading1"/>
      </w:pPr>
      <w:bookmarkStart w:id="78" w:name="_Toc172009699"/>
      <w:bookmarkEnd w:id="77"/>
      <w:r w:rsidRPr="00DD1045">
        <w:t>Statutory claims trends</w:t>
      </w:r>
      <w:bookmarkEnd w:id="78"/>
    </w:p>
    <w:p w14:paraId="6F119FD8" w14:textId="598FFBDB" w:rsidR="0062286F" w:rsidRPr="00736EFA" w:rsidRDefault="0062286F" w:rsidP="0062286F">
      <w:r w:rsidRPr="00736EFA">
        <w:t xml:space="preserve">Our focus remains on ensuring early, safe, and sustainable return to work and rehabilitation, adopting a biopsychosocial and evidence-informed approach </w:t>
      </w:r>
      <w:r w:rsidRPr="00975F7E">
        <w:t>to improve</w:t>
      </w:r>
      <w:r w:rsidRPr="00736EFA">
        <w:t xml:space="preserve"> outcomes for our customers, </w:t>
      </w:r>
      <w:r w:rsidRPr="00975F7E">
        <w:t>and maintain</w:t>
      </w:r>
      <w:r w:rsidRPr="00736EFA">
        <w:t xml:space="preserve"> our scheme sustainability. </w:t>
      </w:r>
    </w:p>
    <w:p w14:paraId="087F6B6F" w14:textId="3555FAA4" w:rsidR="008C5460" w:rsidRDefault="008C5460" w:rsidP="0062286F">
      <w:r w:rsidRPr="00736EFA">
        <w:t>Statutory claims increased</w:t>
      </w:r>
      <w:r>
        <w:t xml:space="preserve"> by </w:t>
      </w:r>
      <w:r w:rsidRPr="00BD5289">
        <w:t>8% compared to 2022–2023, with 74,127 total accepted claims, which co</w:t>
      </w:r>
      <w:r w:rsidR="004D4288" w:rsidRPr="00BD5289">
        <w:t>ntributed to</w:t>
      </w:r>
      <w:r w:rsidRPr="00BD5289">
        <w:t xml:space="preserve"> an increase</w:t>
      </w:r>
      <w:r w:rsidRPr="00736EFA">
        <w:t xml:space="preserve"> in our overall</w:t>
      </w:r>
      <w:r>
        <w:t xml:space="preserve"> claims</w:t>
      </w:r>
      <w:r w:rsidRPr="00736EFA">
        <w:t xml:space="preserve"> costs. We have focussed on </w:t>
      </w:r>
      <w:r>
        <w:t>supporting these injured workers by hiring additional people, increasing training, and optimising our operations.</w:t>
      </w:r>
    </w:p>
    <w:p w14:paraId="0F94EC3C" w14:textId="305A3E11" w:rsidR="0062286F" w:rsidRDefault="00BA18CB" w:rsidP="0062286F">
      <w:r>
        <w:t>T</w:t>
      </w:r>
      <w:r w:rsidR="0062286F" w:rsidRPr="00736EFA">
        <w:t xml:space="preserve">imely and quality decision making has been </w:t>
      </w:r>
      <w:r w:rsidR="00C12E6A">
        <w:t>a continu</w:t>
      </w:r>
      <w:r w:rsidR="004046CA">
        <w:t xml:space="preserve">ous focus in </w:t>
      </w:r>
      <w:r w:rsidR="0062286F">
        <w:t xml:space="preserve">helping us </w:t>
      </w:r>
      <w:r w:rsidR="0062286F" w:rsidRPr="008D398A">
        <w:t>to provide</w:t>
      </w:r>
      <w:r w:rsidR="0062286F" w:rsidRPr="00736EFA">
        <w:t xml:space="preserve"> certainty as soon as possible and </w:t>
      </w:r>
      <w:r w:rsidR="0062286F" w:rsidRPr="008D398A">
        <w:t>increas</w:t>
      </w:r>
      <w:r w:rsidR="005674EF" w:rsidRPr="00BA18CB">
        <w:t>e</w:t>
      </w:r>
      <w:r w:rsidR="0062286F" w:rsidRPr="00736EFA">
        <w:t xml:space="preserve"> early intervention</w:t>
      </w:r>
      <w:r w:rsidR="0062286F" w:rsidRPr="00546CAA">
        <w:t xml:space="preserve">. We saw a </w:t>
      </w:r>
      <w:r w:rsidR="00D86852" w:rsidRPr="009C587C">
        <w:t>9.6</w:t>
      </w:r>
      <w:r w:rsidR="0062286F" w:rsidRPr="009C587C">
        <w:t>%</w:t>
      </w:r>
      <w:r w:rsidR="0062286F" w:rsidRPr="00546CAA">
        <w:t xml:space="preserve"> increase in claims decided within five (5) days, and a </w:t>
      </w:r>
      <w:r w:rsidR="00EE3271" w:rsidRPr="009C587C">
        <w:t>2.7</w:t>
      </w:r>
      <w:r w:rsidR="0062286F" w:rsidRPr="009C587C">
        <w:t>%</w:t>
      </w:r>
      <w:r w:rsidR="0062286F" w:rsidRPr="00546CAA">
        <w:t xml:space="preserve"> increase of claims decided within 20 days.</w:t>
      </w:r>
    </w:p>
    <w:p w14:paraId="1840C14C" w14:textId="77777777" w:rsidR="0062286F" w:rsidRDefault="0062286F" w:rsidP="0062286F"/>
    <w:p w14:paraId="5F378360" w14:textId="77777777" w:rsidR="0062286F" w:rsidRPr="00DD1045" w:rsidRDefault="0062286F" w:rsidP="0062286F">
      <w:pPr>
        <w:pStyle w:val="ARHeading1"/>
      </w:pPr>
      <w:bookmarkStart w:id="79" w:name="_Toc172009700"/>
      <w:r w:rsidRPr="00DD1045">
        <w:t>Mental injur</w:t>
      </w:r>
      <w:r>
        <w:t>y trends</w:t>
      </w:r>
      <w:bookmarkEnd w:id="79"/>
    </w:p>
    <w:p w14:paraId="6FB7E1F3" w14:textId="2851B648" w:rsidR="0062286F" w:rsidRPr="000D471A" w:rsidRDefault="0062286F" w:rsidP="0062286F">
      <w:r w:rsidRPr="000D471A">
        <w:t>In 2023</w:t>
      </w:r>
      <w:r w:rsidR="00922B4E">
        <w:t>–</w:t>
      </w:r>
      <w:r w:rsidRPr="000D471A">
        <w:t xml:space="preserve">2024, </w:t>
      </w:r>
      <w:r w:rsidR="00EC1622">
        <w:t xml:space="preserve">claims for </w:t>
      </w:r>
      <w:r w:rsidRPr="000D471A">
        <w:t xml:space="preserve">primary and secondary mental injuries continued to increase, a trend seen in schemes across Australia. Primary mental injuries can be caused by trauma or other events at work. Secondary mental injuries can arise as a direct result of the event which caused a physical injury, or because of a physical injury. </w:t>
      </w:r>
    </w:p>
    <w:p w14:paraId="254379C9" w14:textId="4FE1F1AD" w:rsidR="0062286F" w:rsidRDefault="0062286F" w:rsidP="0062286F">
      <w:r w:rsidRPr="000D471A">
        <w:t xml:space="preserve">This financial </w:t>
      </w:r>
      <w:r w:rsidRPr="00BD5289">
        <w:t xml:space="preserve">year, </w:t>
      </w:r>
      <w:r w:rsidR="00EE3271" w:rsidRPr="00BD5289">
        <w:t xml:space="preserve">3,364 </w:t>
      </w:r>
      <w:r w:rsidRPr="00BD5289">
        <w:t xml:space="preserve">primary mental injury claims were accepted, which is a </w:t>
      </w:r>
      <w:r w:rsidR="00543718" w:rsidRPr="00BD5289">
        <w:t>32</w:t>
      </w:r>
      <w:r w:rsidRPr="00BD5289">
        <w:t>% increase from 2022</w:t>
      </w:r>
      <w:r w:rsidR="00873477" w:rsidRPr="00BD5289">
        <w:t>–</w:t>
      </w:r>
      <w:r w:rsidRPr="00BD5289">
        <w:t>2023. Mental injuries</w:t>
      </w:r>
      <w:r>
        <w:t xml:space="preserve"> </w:t>
      </w:r>
      <w:r w:rsidRPr="000D471A">
        <w:t xml:space="preserve">typically </w:t>
      </w:r>
      <w:r>
        <w:t xml:space="preserve">have </w:t>
      </w:r>
      <w:r w:rsidRPr="000D471A">
        <w:t>longer claim durations</w:t>
      </w:r>
      <w:r>
        <w:t>, higher average statutory claim costs</w:t>
      </w:r>
      <w:r w:rsidRPr="000D471A">
        <w:t>,</w:t>
      </w:r>
      <w:r>
        <w:t xml:space="preserve"> and lower return to work rates. Addressing the </w:t>
      </w:r>
      <w:r w:rsidRPr="000D471A">
        <w:t>rising</w:t>
      </w:r>
      <w:r>
        <w:t xml:space="preserve"> trends in mental injuries </w:t>
      </w:r>
      <w:r w:rsidRPr="000D471A">
        <w:t>has been</w:t>
      </w:r>
      <w:r>
        <w:t xml:space="preserve"> a key strategic focus </w:t>
      </w:r>
      <w:r w:rsidRPr="000D471A">
        <w:t>of WorkCover.</w:t>
      </w:r>
      <w:r>
        <w:t xml:space="preserve"> </w:t>
      </w:r>
    </w:p>
    <w:p w14:paraId="31598015" w14:textId="0105DCE4" w:rsidR="0062286F" w:rsidRPr="000D471A" w:rsidRDefault="0062286F" w:rsidP="0062286F">
      <w:r>
        <w:t>W</w:t>
      </w:r>
      <w:r w:rsidR="00984B9D">
        <w:t>orkCover</w:t>
      </w:r>
      <w:r>
        <w:t xml:space="preserve"> continue</w:t>
      </w:r>
      <w:r w:rsidR="00984B9D">
        <w:t>s</w:t>
      </w:r>
      <w:r>
        <w:t xml:space="preserve"> to </w:t>
      </w:r>
      <w:r w:rsidR="56378062">
        <w:t>offer</w:t>
      </w:r>
      <w:r>
        <w:t xml:space="preserve"> early</w:t>
      </w:r>
      <w:r w:rsidRPr="00BB393D">
        <w:t xml:space="preserve"> </w:t>
      </w:r>
      <w:r>
        <w:t xml:space="preserve">intervention treatment for workers prior to a decision being made about their primary mental injury, </w:t>
      </w:r>
      <w:r w:rsidRPr="000D471A">
        <w:t xml:space="preserve">encourage </w:t>
      </w:r>
      <w:r w:rsidR="009768FA">
        <w:t>early</w:t>
      </w:r>
      <w:r w:rsidR="009768FA" w:rsidRPr="000D471A">
        <w:t xml:space="preserve"> </w:t>
      </w:r>
      <w:r w:rsidRPr="000D471A">
        <w:t xml:space="preserve">determination for trauma-related primary mental injury claims for first responders, and apply presumptive legislation for particular workers with post-traumatic stress disorder </w:t>
      </w:r>
      <w:r w:rsidRPr="000D471A">
        <w:t>(</w:t>
      </w:r>
      <w:r w:rsidRPr="008B35D5">
        <w:t>PTSD</w:t>
      </w:r>
      <w:r w:rsidRPr="000D471A">
        <w:t>).</w:t>
      </w:r>
      <w:r>
        <w:t xml:space="preserve"> </w:t>
      </w:r>
      <w:r w:rsidRPr="000D471A">
        <w:t>Our data has shown that primary mental injury claims:</w:t>
      </w:r>
    </w:p>
    <w:p w14:paraId="51936B89" w14:textId="2804F1A1" w:rsidR="0062286F" w:rsidRPr="00BD5289" w:rsidRDefault="0062286F" w:rsidP="00C73276">
      <w:pPr>
        <w:pStyle w:val="ListParagraph"/>
        <w:numPr>
          <w:ilvl w:val="0"/>
          <w:numId w:val="2"/>
        </w:numPr>
        <w:ind w:left="584" w:hanging="357"/>
      </w:pPr>
      <w:r w:rsidRPr="000D471A">
        <w:t xml:space="preserve">Currently </w:t>
      </w:r>
      <w:r w:rsidRPr="00BD5289">
        <w:t xml:space="preserve">represent </w:t>
      </w:r>
      <w:r w:rsidR="00543718" w:rsidRPr="00BD5289">
        <w:t>14</w:t>
      </w:r>
      <w:r w:rsidRPr="00BD5289">
        <w:t>% of total statutory payments ($</w:t>
      </w:r>
      <w:r w:rsidR="00543718" w:rsidRPr="00BD5289">
        <w:t xml:space="preserve">209M </w:t>
      </w:r>
      <w:r w:rsidRPr="00BD5289">
        <w:t>for 2023</w:t>
      </w:r>
      <w:r w:rsidR="00873477" w:rsidRPr="00BD5289">
        <w:t>–</w:t>
      </w:r>
      <w:r w:rsidRPr="00BD5289">
        <w:t>2024)</w:t>
      </w:r>
    </w:p>
    <w:p w14:paraId="251D332E" w14:textId="6D3421EE" w:rsidR="0062286F" w:rsidRPr="00BD5289" w:rsidRDefault="0062286F" w:rsidP="00C73276">
      <w:pPr>
        <w:pStyle w:val="ListParagraph"/>
        <w:numPr>
          <w:ilvl w:val="0"/>
          <w:numId w:val="2"/>
        </w:numPr>
        <w:ind w:left="584" w:hanging="357"/>
      </w:pPr>
      <w:r w:rsidRPr="00BD5289">
        <w:t>Have an average claim cost of $</w:t>
      </w:r>
      <w:r w:rsidR="006379CB" w:rsidRPr="00BD5289">
        <w:t>21,</w:t>
      </w:r>
      <w:r w:rsidR="00615B16" w:rsidRPr="00BD5289">
        <w:t>800</w:t>
      </w:r>
      <w:r w:rsidRPr="00BD5289">
        <w:t xml:space="preserve"> ($</w:t>
      </w:r>
      <w:r w:rsidR="00615B16" w:rsidRPr="00BD5289">
        <w:t>20,700</w:t>
      </w:r>
      <w:r w:rsidRPr="00BD5289">
        <w:t xml:space="preserve"> in 2022</w:t>
      </w:r>
      <w:r w:rsidR="00873477" w:rsidRPr="00BD5289">
        <w:t>–</w:t>
      </w:r>
      <w:r w:rsidRPr="00BD5289">
        <w:t xml:space="preserve">2023), which is </w:t>
      </w:r>
      <w:r w:rsidR="00386486" w:rsidRPr="00BD5289">
        <w:t>more than</w:t>
      </w:r>
      <w:r w:rsidRPr="00BD5289">
        <w:t xml:space="preserve"> double the average claim cost of physical injuries ($</w:t>
      </w:r>
      <w:r w:rsidR="00615B16" w:rsidRPr="00BD5289">
        <w:t>9,900</w:t>
      </w:r>
      <w:r w:rsidRPr="00BD5289">
        <w:t xml:space="preserve"> for 2023</w:t>
      </w:r>
      <w:r w:rsidR="00873477" w:rsidRPr="00BD5289">
        <w:t>–</w:t>
      </w:r>
      <w:r w:rsidRPr="00BD5289">
        <w:t>2024)</w:t>
      </w:r>
    </w:p>
    <w:p w14:paraId="6C412301" w14:textId="31418304" w:rsidR="0062286F" w:rsidRPr="00BD5289" w:rsidRDefault="0062286F" w:rsidP="00C73276">
      <w:pPr>
        <w:pStyle w:val="ListParagraph"/>
        <w:numPr>
          <w:ilvl w:val="0"/>
          <w:numId w:val="2"/>
        </w:numPr>
        <w:ind w:left="584" w:hanging="357"/>
      </w:pPr>
      <w:r w:rsidRPr="00BD5289">
        <w:t xml:space="preserve">Have </w:t>
      </w:r>
      <w:r w:rsidR="00984489" w:rsidRPr="00BD5289">
        <w:t>longer</w:t>
      </w:r>
      <w:r w:rsidRPr="00BD5289">
        <w:t xml:space="preserve"> periods of time</w:t>
      </w:r>
      <w:r w:rsidR="0093120A" w:rsidRPr="00BD5289">
        <w:t xml:space="preserve"> off work</w:t>
      </w:r>
      <w:r w:rsidRPr="00BD5289">
        <w:t xml:space="preserve"> (</w:t>
      </w:r>
      <w:r w:rsidR="000F74FC" w:rsidRPr="00BD5289">
        <w:t xml:space="preserve">113 </w:t>
      </w:r>
      <w:r w:rsidRPr="00BD5289">
        <w:t xml:space="preserve">average annual paid days) than for physical </w:t>
      </w:r>
      <w:r w:rsidR="0093120A" w:rsidRPr="00BD5289">
        <w:t xml:space="preserve">injury </w:t>
      </w:r>
      <w:r w:rsidRPr="00BD5289">
        <w:t>claims (</w:t>
      </w:r>
      <w:r w:rsidR="000F74FC" w:rsidRPr="00BD5289">
        <w:t xml:space="preserve">42 </w:t>
      </w:r>
      <w:r w:rsidRPr="00BD5289">
        <w:t>average annual paid days)</w:t>
      </w:r>
    </w:p>
    <w:p w14:paraId="19E8DF84" w14:textId="21DBFA50" w:rsidR="0062286F" w:rsidRPr="00BD5289" w:rsidRDefault="0062286F" w:rsidP="00C73276">
      <w:pPr>
        <w:pStyle w:val="ListParagraph"/>
        <w:numPr>
          <w:ilvl w:val="0"/>
          <w:numId w:val="2"/>
        </w:numPr>
        <w:ind w:left="584" w:hanging="357"/>
      </w:pPr>
      <w:r w:rsidRPr="00BD5289">
        <w:t xml:space="preserve">Were less likely to return to work, at </w:t>
      </w:r>
      <w:r w:rsidR="005C5F47" w:rsidRPr="00BD5289">
        <w:t>73.3</w:t>
      </w:r>
      <w:r w:rsidRPr="00BD5289">
        <w:t>% in 2023</w:t>
      </w:r>
      <w:r w:rsidR="00873477" w:rsidRPr="00BD5289">
        <w:t>–</w:t>
      </w:r>
      <w:r w:rsidRPr="00BD5289">
        <w:t xml:space="preserve">2024 compared to workers with a primary physical injury at </w:t>
      </w:r>
      <w:r w:rsidR="005C5F47" w:rsidRPr="00BD5289">
        <w:t>93.3</w:t>
      </w:r>
      <w:r w:rsidRPr="00BD5289">
        <w:t>%.</w:t>
      </w:r>
    </w:p>
    <w:p w14:paraId="15D39210" w14:textId="1B661868" w:rsidR="0062286F" w:rsidRDefault="0062286F" w:rsidP="0062286F">
      <w:r w:rsidRPr="000D471A">
        <w:t xml:space="preserve">Secondary mental injuries have also continued to rise, which impacts the duration and cost of statutory claims and the conversion to common law. This is an upwards trend that is consistent across other jurisdictions. </w:t>
      </w:r>
    </w:p>
    <w:p w14:paraId="709731BF" w14:textId="2165A910" w:rsidR="0062286F" w:rsidRDefault="0062286F" w:rsidP="0062286F">
      <w:r>
        <w:t xml:space="preserve">You can read more about what we are doing </w:t>
      </w:r>
      <w:r w:rsidR="00C5623B">
        <w:t>to address</w:t>
      </w:r>
      <w:r>
        <w:t xml:space="preserve"> this trend under</w:t>
      </w:r>
      <w:r w:rsidR="00AE5893">
        <w:t xml:space="preserve"> </w:t>
      </w:r>
      <w:r w:rsidR="00AE5893" w:rsidRPr="00BD5289">
        <w:t>the</w:t>
      </w:r>
      <w:r w:rsidR="000A17B6" w:rsidRPr="00BD5289">
        <w:t xml:space="preserve"> </w:t>
      </w:r>
      <w:r w:rsidR="000A17B6" w:rsidRPr="00BD5289">
        <w:rPr>
          <w:i/>
          <w:iCs/>
        </w:rPr>
        <w:t>Improving outcomes with customers</w:t>
      </w:r>
      <w:r w:rsidR="00AE5893" w:rsidRPr="00BD5289">
        <w:t xml:space="preserve"> section</w:t>
      </w:r>
      <w:r w:rsidRPr="00BD5289">
        <w:t xml:space="preserve"> of the</w:t>
      </w:r>
      <w:r>
        <w:t xml:space="preserve"> report.</w:t>
      </w:r>
    </w:p>
    <w:p w14:paraId="735C6698" w14:textId="77777777" w:rsidR="0062286F" w:rsidRPr="000D471A" w:rsidRDefault="0062286F" w:rsidP="0062286F"/>
    <w:p w14:paraId="3AD8B8F3" w14:textId="6B29785E" w:rsidR="0062286F" w:rsidRPr="00DD1045" w:rsidRDefault="0062286F" w:rsidP="0062286F">
      <w:pPr>
        <w:pStyle w:val="ARHeading1"/>
      </w:pPr>
      <w:bookmarkStart w:id="80" w:name="_Toc172009701"/>
      <w:r>
        <w:t>Return to work outcomes</w:t>
      </w:r>
      <w:bookmarkEnd w:id="80"/>
    </w:p>
    <w:p w14:paraId="56D3FE3A" w14:textId="18613C78" w:rsidR="00806F22" w:rsidRPr="003264A9" w:rsidRDefault="64BD3D9C" w:rsidP="00623960">
      <w:pPr>
        <w:spacing w:before="0" w:after="160"/>
        <w:rPr>
          <w:highlight w:val="yellow"/>
        </w:rPr>
      </w:pPr>
      <w:r w:rsidRPr="0AFC4AB5">
        <w:rPr>
          <w:rFonts w:eastAsia="Source Sans Pro" w:cs="Source Sans Pro"/>
        </w:rPr>
        <w:t xml:space="preserve">There are many factors that contribute to successful return to work outcomes. Our claims management approach is focused on early intervention and understanding and addressing the impacts that psychosocial factors have on recovery. We continue to have a positive impact with more than nine </w:t>
      </w:r>
      <w:r w:rsidRPr="00BD5289">
        <w:rPr>
          <w:rFonts w:eastAsia="Source Sans Pro" w:cs="Source Sans Pro"/>
        </w:rPr>
        <w:t>in 10 w</w:t>
      </w:r>
      <w:r w:rsidRPr="0AFC4AB5">
        <w:rPr>
          <w:rFonts w:eastAsia="Source Sans Pro" w:cs="Source Sans Pro"/>
        </w:rPr>
        <w:t xml:space="preserve">orkers safely returning to work. Where a worker cannot return to their pre-injury role, we work with the worker, their employer, providers and, in some cases, alternative employers, to help find other roles or employment. </w:t>
      </w:r>
    </w:p>
    <w:p w14:paraId="79E09D93" w14:textId="7666167F" w:rsidR="00806F22" w:rsidRPr="00000114" w:rsidRDefault="00813CE7" w:rsidP="0AFC4AB5">
      <w:pPr>
        <w:spacing w:before="0" w:after="160"/>
      </w:pPr>
      <w:r>
        <w:t>O</w:t>
      </w:r>
      <w:r w:rsidR="6F23DB44" w:rsidRPr="00000114">
        <w:t>ur focus</w:t>
      </w:r>
      <w:r>
        <w:t xml:space="preserve"> remains</w:t>
      </w:r>
      <w:r w:rsidR="6F23DB44" w:rsidRPr="00000114">
        <w:t xml:space="preserve"> on early intervention for those workers at risk of poor outcomes, as evidence confirms that being off work for long periods of time following injury reduces the likelihood of workers ever returning to work.</w:t>
      </w:r>
      <w:r w:rsidR="0095360D">
        <w:t xml:space="preserve"> W</w:t>
      </w:r>
      <w:r w:rsidR="0095360D" w:rsidRPr="00000114">
        <w:t>orkers with a primary or secondary mental injury</w:t>
      </w:r>
      <w:r w:rsidR="009E431A">
        <w:t xml:space="preserve"> tend to</w:t>
      </w:r>
      <w:r w:rsidR="6F23DB44" w:rsidRPr="00000114">
        <w:t xml:space="preserve"> </w:t>
      </w:r>
      <w:r w:rsidR="0095360D">
        <w:t xml:space="preserve">have </w:t>
      </w:r>
      <w:r w:rsidR="209AF98A" w:rsidRPr="00000114">
        <w:t xml:space="preserve">longer time off work and </w:t>
      </w:r>
      <w:r w:rsidR="00DF289D">
        <w:t xml:space="preserve">a </w:t>
      </w:r>
      <w:r w:rsidR="44785C8E" w:rsidRPr="00000114">
        <w:t>lower return to work rate</w:t>
      </w:r>
      <w:r w:rsidR="5B9D607B" w:rsidRPr="00000114">
        <w:t xml:space="preserve">. </w:t>
      </w:r>
      <w:r w:rsidR="44785C8E" w:rsidRPr="00000114">
        <w:t xml:space="preserve"> </w:t>
      </w:r>
    </w:p>
    <w:p w14:paraId="6429238C" w14:textId="77777777" w:rsidR="0062286F" w:rsidRPr="00DD1045" w:rsidRDefault="0062286F" w:rsidP="0062286F">
      <w:pPr>
        <w:pStyle w:val="ARHeading1"/>
      </w:pPr>
      <w:bookmarkStart w:id="81" w:name="_Toc172009702"/>
      <w:r w:rsidRPr="00DD1045">
        <w:lastRenderedPageBreak/>
        <w:t>Statutory claims management strategies</w:t>
      </w:r>
      <w:bookmarkEnd w:id="81"/>
    </w:p>
    <w:p w14:paraId="740355B5" w14:textId="2AC334EA" w:rsidR="00270BCD" w:rsidRPr="00DD1045" w:rsidRDefault="009F6BF0" w:rsidP="0062286F">
      <w:r>
        <w:rPr>
          <w:rStyle w:val="normaltextrun"/>
          <w:color w:val="000000"/>
          <w:shd w:val="clear" w:color="auto" w:fill="FFFFFF"/>
        </w:rPr>
        <w:t>Claims management is at the core of our business</w:t>
      </w:r>
      <w:r w:rsidR="00B533FC">
        <w:rPr>
          <w:rStyle w:val="normaltextrun"/>
          <w:color w:val="000000"/>
          <w:shd w:val="clear" w:color="auto" w:fill="FFFFFF"/>
        </w:rPr>
        <w:t>, and we strive to guide our customers through the claims process</w:t>
      </w:r>
      <w:r w:rsidR="007B5257">
        <w:rPr>
          <w:rStyle w:val="normaltextrun"/>
          <w:color w:val="000000"/>
          <w:shd w:val="clear" w:color="auto" w:fill="FFFFFF"/>
        </w:rPr>
        <w:t>. Investing in</w:t>
      </w:r>
      <w:r w:rsidR="002053EC">
        <w:rPr>
          <w:rStyle w:val="normaltextrun"/>
          <w:color w:val="000000"/>
          <w:shd w:val="clear" w:color="auto" w:fill="FFFFFF"/>
        </w:rPr>
        <w:t xml:space="preserve"> claims management </w:t>
      </w:r>
      <w:r w:rsidR="00ED40EC">
        <w:rPr>
          <w:rStyle w:val="normaltextrun"/>
          <w:color w:val="000000"/>
          <w:shd w:val="clear" w:color="auto" w:fill="FFFFFF"/>
        </w:rPr>
        <w:t>helps</w:t>
      </w:r>
      <w:r w:rsidR="00E75261">
        <w:rPr>
          <w:rStyle w:val="normaltextrun"/>
          <w:color w:val="000000"/>
          <w:shd w:val="clear" w:color="auto" w:fill="FFFFFF"/>
        </w:rPr>
        <w:t xml:space="preserve"> to achieve early and sustainable recovery, rehabilitation, and</w:t>
      </w:r>
      <w:r w:rsidR="000B650E">
        <w:rPr>
          <w:rStyle w:val="normaltextrun"/>
          <w:color w:val="000000"/>
          <w:shd w:val="clear" w:color="auto" w:fill="FFFFFF"/>
        </w:rPr>
        <w:t xml:space="preserve"> better</w:t>
      </w:r>
      <w:r w:rsidR="00E75261">
        <w:rPr>
          <w:rStyle w:val="normaltextrun"/>
          <w:color w:val="000000"/>
          <w:shd w:val="clear" w:color="auto" w:fill="FFFFFF"/>
        </w:rPr>
        <w:t xml:space="preserve"> return to work outcomes</w:t>
      </w:r>
      <w:r w:rsidR="005D36B3">
        <w:rPr>
          <w:rStyle w:val="normaltextrun"/>
          <w:color w:val="000000"/>
          <w:shd w:val="clear" w:color="auto" w:fill="FFFFFF"/>
        </w:rPr>
        <w:t>, ensuring we s</w:t>
      </w:r>
      <w:r w:rsidR="004A129B">
        <w:rPr>
          <w:rStyle w:val="normaltextrun"/>
          <w:color w:val="000000"/>
          <w:shd w:val="clear" w:color="auto" w:fill="FFFFFF"/>
        </w:rPr>
        <w:t>upport</w:t>
      </w:r>
      <w:r w:rsidR="005D36B3">
        <w:rPr>
          <w:rStyle w:val="normaltextrun"/>
          <w:color w:val="000000"/>
          <w:shd w:val="clear" w:color="auto" w:fill="FFFFFF"/>
        </w:rPr>
        <w:t xml:space="preserve"> our customers now and into the future.</w:t>
      </w:r>
      <w:r w:rsidR="005D36B3" w:rsidRPr="009F6BF0" w:rsidDel="005D36B3">
        <w:rPr>
          <w:rStyle w:val="normaltextrun"/>
          <w:color w:val="000000"/>
          <w:shd w:val="clear" w:color="auto" w:fill="FFFFFF"/>
        </w:rPr>
        <w:t xml:space="preserve"> </w:t>
      </w:r>
    </w:p>
    <w:p w14:paraId="1F1260EA" w14:textId="77777777" w:rsidR="0062286F" w:rsidRPr="00DD1045" w:rsidRDefault="0062286F" w:rsidP="0062286F">
      <w:pPr>
        <w:pStyle w:val="ARSub-heading1"/>
      </w:pPr>
      <w:bookmarkStart w:id="82" w:name="_Toc172009703"/>
      <w:r w:rsidRPr="00DD1045">
        <w:t>Earlier claims decisions</w:t>
      </w:r>
      <w:bookmarkEnd w:id="82"/>
    </w:p>
    <w:p w14:paraId="4CFC7919" w14:textId="52D1A8EC" w:rsidR="00F3103D" w:rsidRPr="00DD1045" w:rsidRDefault="0062286F" w:rsidP="0062286F">
      <w:r>
        <w:t>Following the centralisation of claim decisions in 2021</w:t>
      </w:r>
      <w:r w:rsidR="00873477">
        <w:t>–</w:t>
      </w:r>
      <w:r>
        <w:t xml:space="preserve">2022, we have seen significant improvements in our decision timeframes. This dedicated focus has delivered improvements in decisions made within five (5) days, decisions made within 20 days and average decision times. </w:t>
      </w:r>
      <w:r w:rsidR="1851D947" w:rsidRPr="00F01DD3">
        <w:rPr>
          <w:rStyle w:val="normaltextrun"/>
          <w:color w:val="000000"/>
          <w:shd w:val="clear" w:color="auto" w:fill="FFFFFF"/>
        </w:rPr>
        <w:t>In 2023</w:t>
      </w:r>
      <w:r w:rsidR="005727CF">
        <w:t>–</w:t>
      </w:r>
      <w:r w:rsidR="1851D947" w:rsidRPr="00F01DD3">
        <w:rPr>
          <w:rStyle w:val="normaltextrun"/>
          <w:color w:val="000000"/>
          <w:shd w:val="clear" w:color="auto" w:fill="FFFFFF"/>
        </w:rPr>
        <w:t>2024</w:t>
      </w:r>
      <w:r w:rsidR="005727CF">
        <w:rPr>
          <w:rStyle w:val="normaltextrun"/>
          <w:color w:val="000000"/>
          <w:shd w:val="clear" w:color="auto" w:fill="FFFFFF"/>
        </w:rPr>
        <w:t>,</w:t>
      </w:r>
      <w:r w:rsidR="1851D947" w:rsidRPr="00F01DD3">
        <w:rPr>
          <w:rStyle w:val="normaltextrun"/>
          <w:color w:val="000000"/>
          <w:shd w:val="clear" w:color="auto" w:fill="FFFFFF"/>
        </w:rPr>
        <w:t xml:space="preserve"> we </w:t>
      </w:r>
      <w:r w:rsidR="00670F06" w:rsidRPr="00BD5289">
        <w:rPr>
          <w:rStyle w:val="normaltextrun"/>
          <w:color w:val="000000"/>
          <w:shd w:val="clear" w:color="auto" w:fill="FFFFFF"/>
        </w:rPr>
        <w:t>determin</w:t>
      </w:r>
      <w:r w:rsidR="00CD6D79" w:rsidRPr="00BD5289">
        <w:rPr>
          <w:rStyle w:val="normaltextrun"/>
          <w:color w:val="000000"/>
          <w:shd w:val="clear" w:color="auto" w:fill="FFFFFF"/>
        </w:rPr>
        <w:t>ed</w:t>
      </w:r>
      <w:r w:rsidR="00BD5289">
        <w:rPr>
          <w:rStyle w:val="normaltextrun"/>
          <w:color w:val="000000"/>
          <w:shd w:val="clear" w:color="auto" w:fill="FFFFFF"/>
        </w:rPr>
        <w:t xml:space="preserve"> 62.6%</w:t>
      </w:r>
      <w:r w:rsidR="00670F06" w:rsidRPr="00BD5289">
        <w:rPr>
          <w:rStyle w:val="normaltextrun"/>
          <w:color w:val="000000"/>
          <w:shd w:val="clear" w:color="auto" w:fill="FFFFFF"/>
        </w:rPr>
        <w:t xml:space="preserve"> of claims in five (5) days, and</w:t>
      </w:r>
      <w:r w:rsidR="008550E7">
        <w:rPr>
          <w:rStyle w:val="normaltextrun"/>
          <w:color w:val="000000"/>
          <w:shd w:val="clear" w:color="auto" w:fill="FFFFFF"/>
        </w:rPr>
        <w:t xml:space="preserve"> 91.7%</w:t>
      </w:r>
      <w:r w:rsidR="00670F06" w:rsidRPr="00BD5289">
        <w:rPr>
          <w:rStyle w:val="normaltextrun"/>
          <w:color w:val="000000"/>
          <w:shd w:val="clear" w:color="auto" w:fill="FFFFFF"/>
        </w:rPr>
        <w:t xml:space="preserve"> in 20 days. </w:t>
      </w:r>
      <w:r w:rsidRPr="00BD5289">
        <w:t>We</w:t>
      </w:r>
      <w:r>
        <w:t xml:space="preserve"> have also trialled centralising decision-making for </w:t>
      </w:r>
      <w:r w:rsidR="000A084F">
        <w:t xml:space="preserve">Government </w:t>
      </w:r>
      <w:r>
        <w:t>mental injur</w:t>
      </w:r>
      <w:r w:rsidR="000A084F">
        <w:t>y claims</w:t>
      </w:r>
      <w:r>
        <w:t xml:space="preserve"> and have seen significant improvements. We will expand this trial in 2024</w:t>
      </w:r>
      <w:r w:rsidR="00284E6B">
        <w:t>–</w:t>
      </w:r>
      <w:r>
        <w:t xml:space="preserve">2025. </w:t>
      </w:r>
    </w:p>
    <w:p w14:paraId="296614A4" w14:textId="34A851DE" w:rsidR="0062286F" w:rsidRDefault="0062286F" w:rsidP="0062286F">
      <w:pPr>
        <w:pStyle w:val="ARSub-heading1"/>
      </w:pPr>
      <w:bookmarkStart w:id="83" w:name="_Toc172009704"/>
      <w:r>
        <w:t>Simplifying the process for workers</w:t>
      </w:r>
      <w:bookmarkEnd w:id="83"/>
    </w:p>
    <w:p w14:paraId="1DAEE101" w14:textId="02B3E407" w:rsidR="004A4E62" w:rsidRPr="00C04E4C" w:rsidRDefault="0062286F" w:rsidP="0062286F">
      <w:r>
        <w:t>This year</w:t>
      </w:r>
      <w:r w:rsidR="00C361A0">
        <w:t>,</w:t>
      </w:r>
      <w:r>
        <w:t xml:space="preserve"> we launched a number of new video resources designed to simplify the claims process for workers. The videos, available on our website and sent to </w:t>
      </w:r>
      <w:r w:rsidR="005A4129">
        <w:t>w</w:t>
      </w:r>
      <w:r>
        <w:t xml:space="preserve">orkers during their claim, cover topics such as: how to make a WorkCover claim, the claim process, attending an Independent Medical Examination and accessing adjustment to injury counselling. You can watch the videos </w:t>
      </w:r>
      <w:hyperlink r:id="rId31" w:history="1">
        <w:r w:rsidR="00C317FE" w:rsidRPr="004A7781">
          <w:rPr>
            <w:rStyle w:val="Hyperlink"/>
            <w:color w:val="auto"/>
            <w:u w:val="none"/>
          </w:rPr>
          <w:t>on</w:t>
        </w:r>
      </w:hyperlink>
      <w:r w:rsidR="00C317FE" w:rsidRPr="004A7781">
        <w:rPr>
          <w:rStyle w:val="Hyperlink"/>
          <w:color w:val="auto"/>
          <w:u w:val="none"/>
        </w:rPr>
        <w:t xml:space="preserve"> our YouTube channel. </w:t>
      </w:r>
      <w:r w:rsidR="00C37613" w:rsidRPr="005727CF">
        <w:rPr>
          <w:rStyle w:val="Hyperlink"/>
          <w:color w:val="auto"/>
          <w:u w:val="none"/>
        </w:rPr>
        <w:t>(</w:t>
      </w:r>
      <w:hyperlink r:id="rId32" w:history="1">
        <w:r w:rsidR="00C317FE" w:rsidRPr="00C317FE">
          <w:rPr>
            <w:rStyle w:val="Hyperlink"/>
            <w:color w:val="auto"/>
          </w:rPr>
          <w:t>https://www.youtube.com</w:t>
        </w:r>
      </w:hyperlink>
      <w:r w:rsidR="00C317FE">
        <w:rPr>
          <w:rStyle w:val="Hyperlink"/>
          <w:color w:val="auto"/>
        </w:rPr>
        <w:br/>
      </w:r>
      <w:r w:rsidR="00C37613" w:rsidRPr="00C37613">
        <w:rPr>
          <w:rStyle w:val="Hyperlink"/>
          <w:color w:val="auto"/>
        </w:rPr>
        <w:t>/playlist?list=PLiOclcBIZRBeNcueykFAAi-47t4TlXimj</w:t>
      </w:r>
      <w:r w:rsidR="00C37613" w:rsidRPr="005727CF">
        <w:rPr>
          <w:rStyle w:val="Hyperlink"/>
          <w:color w:val="auto"/>
          <w:u w:val="none"/>
        </w:rPr>
        <w:t>)</w:t>
      </w:r>
    </w:p>
    <w:p w14:paraId="4F740B8D" w14:textId="77777777" w:rsidR="0062286F" w:rsidRPr="00DD1045" w:rsidRDefault="0062286F" w:rsidP="0062286F">
      <w:pPr>
        <w:pStyle w:val="ARSub-heading1"/>
      </w:pPr>
      <w:bookmarkStart w:id="84" w:name="_Toc172009705"/>
      <w:r w:rsidRPr="00DD1045">
        <w:t>Automatic wage population</w:t>
      </w:r>
      <w:bookmarkEnd w:id="84"/>
    </w:p>
    <w:p w14:paraId="31EC0647" w14:textId="7218D1A3" w:rsidR="0062286F" w:rsidRPr="00DD1045" w:rsidRDefault="0062286F" w:rsidP="0062286F">
      <w:r>
        <w:t xml:space="preserve">Following the success of our </w:t>
      </w:r>
      <w:r w:rsidR="005A4129">
        <w:t xml:space="preserve">secure </w:t>
      </w:r>
      <w:r>
        <w:t>integration with Queensland Health in 2022</w:t>
      </w:r>
      <w:r w:rsidR="00490D1B">
        <w:t>–</w:t>
      </w:r>
      <w:r>
        <w:t>2023, in 2023</w:t>
      </w:r>
      <w:r w:rsidR="00490D1B">
        <w:t>–</w:t>
      </w:r>
      <w:r>
        <w:t xml:space="preserve">2024 we launched a second phase of this integration to allow for the automatic wage population </w:t>
      </w:r>
      <w:r w:rsidR="005A4129">
        <w:t>for</w:t>
      </w:r>
      <w:r>
        <w:t xml:space="preserve"> more workers across Queensland. This program </w:t>
      </w:r>
      <w:r w:rsidRPr="00A81410">
        <w:t>reduce</w:t>
      </w:r>
      <w:r w:rsidR="00A81410" w:rsidRPr="00A81410">
        <w:t>d</w:t>
      </w:r>
      <w:r>
        <w:t xml:space="preserve"> </w:t>
      </w:r>
      <w:r w:rsidRPr="00367DCE">
        <w:t xml:space="preserve">time spent on data entry and </w:t>
      </w:r>
      <w:r w:rsidRPr="00A81410">
        <w:t>help</w:t>
      </w:r>
      <w:r w:rsidR="00A81410" w:rsidRPr="00A81410">
        <w:t>ed</w:t>
      </w:r>
      <w:r w:rsidRPr="00A81410">
        <w:t xml:space="preserve"> us</w:t>
      </w:r>
      <w:r w:rsidRPr="00367DCE">
        <w:t xml:space="preserve"> to ensure</w:t>
      </w:r>
      <w:r w:rsidR="00AE061F">
        <w:t xml:space="preserve"> accurate</w:t>
      </w:r>
      <w:r w:rsidRPr="00367DCE">
        <w:t xml:space="preserve"> payments are made to workers as soon as possible</w:t>
      </w:r>
      <w:r w:rsidR="005A4129">
        <w:t xml:space="preserve"> once their claim is accepted.</w:t>
      </w:r>
    </w:p>
    <w:p w14:paraId="46B99467" w14:textId="77777777" w:rsidR="0062286F" w:rsidRPr="00DD1045" w:rsidRDefault="0062286F" w:rsidP="0062286F">
      <w:pPr>
        <w:pStyle w:val="ARSub-heading1"/>
      </w:pPr>
      <w:bookmarkStart w:id="85" w:name="_Toc172009706"/>
      <w:r w:rsidRPr="00DD1045">
        <w:t>Better education and support for employers</w:t>
      </w:r>
      <w:bookmarkEnd w:id="85"/>
    </w:p>
    <w:p w14:paraId="587F1F9D" w14:textId="7BDE4F0F" w:rsidR="0062286F" w:rsidRDefault="0062286F" w:rsidP="0062286F">
      <w:r>
        <w:t xml:space="preserve">Our </w:t>
      </w:r>
      <w:r w:rsidR="0042669E">
        <w:t>experience and external research</w:t>
      </w:r>
      <w:r>
        <w:t xml:space="preserve"> show that a worker’s ability </w:t>
      </w:r>
      <w:r w:rsidR="00315C6D">
        <w:t xml:space="preserve">to cope with their injury </w:t>
      </w:r>
      <w:r>
        <w:t xml:space="preserve">and </w:t>
      </w:r>
      <w:r w:rsidR="00315C6D">
        <w:t>the level</w:t>
      </w:r>
      <w:r>
        <w:t xml:space="preserve"> of employer support are the top two risk factors strongly linked to outcomes. To address these issues, we equip</w:t>
      </w:r>
      <w:r w:rsidR="00D52549">
        <w:t>ped</w:t>
      </w:r>
      <w:r>
        <w:t xml:space="preserve"> employers with various resources and tools that </w:t>
      </w:r>
      <w:r w:rsidRPr="00A81410">
        <w:t>highlight</w:t>
      </w:r>
      <w:r>
        <w:t xml:space="preserve"> the benefits of supporting injured workers' return to work and their obligations in offering suitable duties. Additionally, we hosted several webinars and in-person events with employers to discuss secondary mental injuries, key trends, and explore strategies for mitigating risks and facilitating safe return to work for </w:t>
      </w:r>
      <w:r w:rsidR="00F772DF">
        <w:t xml:space="preserve">their </w:t>
      </w:r>
      <w:r>
        <w:t>employees.</w:t>
      </w:r>
    </w:p>
    <w:p w14:paraId="1FECAEF7" w14:textId="77777777" w:rsidR="0062286F" w:rsidRPr="00DD1045" w:rsidRDefault="0062286F" w:rsidP="0062286F">
      <w:pPr>
        <w:pStyle w:val="ARSub-heading1"/>
      </w:pPr>
      <w:bookmarkStart w:id="86" w:name="_Toc172009707"/>
      <w:r w:rsidRPr="00DD1045">
        <w:t>More access to medical and allied health care</w:t>
      </w:r>
      <w:bookmarkEnd w:id="86"/>
    </w:p>
    <w:p w14:paraId="6678EB8E" w14:textId="6117DA34" w:rsidR="00F964BD" w:rsidRDefault="0062286F" w:rsidP="0062286F">
      <w:r>
        <w:t>Recognising the importance of early intervention, we continue to enhance the guidance and support available to help workers access treatment and start their recovery journey</w:t>
      </w:r>
      <w:r w:rsidR="00F772DF">
        <w:t xml:space="preserve"> sooner</w:t>
      </w:r>
      <w:r>
        <w:t xml:space="preserve">. </w:t>
      </w:r>
      <w:bookmarkStart w:id="87" w:name="_Hlk174360398"/>
      <w:r w:rsidR="00AD6839">
        <w:t xml:space="preserve">We funded </w:t>
      </w:r>
      <w:r w:rsidR="002E0939">
        <w:t xml:space="preserve">over </w:t>
      </w:r>
      <w:r w:rsidR="00EC1996" w:rsidRPr="00CD6D79">
        <w:t>$</w:t>
      </w:r>
      <w:r w:rsidR="00A82EFC" w:rsidRPr="00CD6D79">
        <w:t>3.4M</w:t>
      </w:r>
      <w:r w:rsidR="00EC1996">
        <w:t xml:space="preserve"> in early intervention support</w:t>
      </w:r>
      <w:r w:rsidR="00F964BD">
        <w:t xml:space="preserve"> for workers with mental injuries, before their claim was determined</w:t>
      </w:r>
      <w:r w:rsidR="00753867">
        <w:t>.</w:t>
      </w:r>
    </w:p>
    <w:bookmarkEnd w:id="87"/>
    <w:p w14:paraId="560106E8" w14:textId="51302445" w:rsidR="0062286F" w:rsidRDefault="0062286F" w:rsidP="0062286F">
      <w:r>
        <w:t xml:space="preserve">Medical and allied health providers are experiencing high demand for their services, especially for mental injuries. We continue to optimise our Allied Health Table of Costs </w:t>
      </w:r>
      <w:r w:rsidR="00E56FCC">
        <w:t xml:space="preserve">(TOC) </w:t>
      </w:r>
      <w:r>
        <w:t>to i</w:t>
      </w:r>
      <w:r w:rsidR="00F772DF">
        <w:t>mprove</w:t>
      </w:r>
      <w:r>
        <w:t xml:space="preserve"> access to a wide range of providers for delivering these services to our workers. Additionally, we undertook an ongoing targeted </w:t>
      </w:r>
      <w:r w:rsidR="001F0AEB">
        <w:t>selection process</w:t>
      </w:r>
      <w:r>
        <w:t xml:space="preserve"> for independent medical examiners (IME) in key specialties to support improved access.</w:t>
      </w:r>
    </w:p>
    <w:p w14:paraId="0072CF92" w14:textId="77777777" w:rsidR="0062286F" w:rsidRDefault="0062286F" w:rsidP="0062286F">
      <w:pPr>
        <w:pStyle w:val="ARSub-heading1"/>
      </w:pPr>
      <w:bookmarkStart w:id="88" w:name="_Toc172009708"/>
      <w:r>
        <w:t>Professional standards framework</w:t>
      </w:r>
      <w:bookmarkEnd w:id="88"/>
    </w:p>
    <w:p w14:paraId="4F91CCFC" w14:textId="23546DFA" w:rsidR="0062286F" w:rsidRDefault="0062286F" w:rsidP="0062286F">
      <w:r w:rsidRPr="005F46F0">
        <w:t>This year</w:t>
      </w:r>
      <w:r w:rsidR="00600C8D">
        <w:t>,</w:t>
      </w:r>
      <w:r w:rsidRPr="005F46F0">
        <w:t xml:space="preserve"> we introduced our Professional Standards Framework to support our people in managing claims in an evolving environment. Developed in collaboration with</w:t>
      </w:r>
      <w:r w:rsidR="00937080">
        <w:t xml:space="preserve"> the</w:t>
      </w:r>
      <w:r w:rsidRPr="005F46F0">
        <w:t xml:space="preserve"> Personal Injury Education Foundation</w:t>
      </w:r>
      <w:r>
        <w:t xml:space="preserve"> (</w:t>
      </w:r>
      <w:r w:rsidRPr="00290147">
        <w:t>PIEF</w:t>
      </w:r>
      <w:r>
        <w:t>)</w:t>
      </w:r>
      <w:r w:rsidRPr="005F46F0">
        <w:t xml:space="preserve">, industry leaders nationwide and many of our own experienced people, this framework consists of standards aimed at ensuring consistent service delivery and quality experiences for both workers and employers. </w:t>
      </w:r>
      <w:r>
        <w:t xml:space="preserve">The standards help us to support our people to manage claims today and into the future. </w:t>
      </w:r>
    </w:p>
    <w:p w14:paraId="2771BB30" w14:textId="77777777" w:rsidR="0062286F" w:rsidRPr="00DD1045" w:rsidRDefault="0062286F" w:rsidP="0062286F">
      <w:pPr>
        <w:pStyle w:val="ARSub-heading1"/>
      </w:pPr>
      <w:bookmarkStart w:id="89" w:name="_Toc172009709"/>
      <w:r w:rsidRPr="00DD1045">
        <w:lastRenderedPageBreak/>
        <w:t>Technology upgrades</w:t>
      </w:r>
      <w:bookmarkEnd w:id="89"/>
    </w:p>
    <w:p w14:paraId="5126E4FF" w14:textId="7A2B3E31" w:rsidR="0062286F" w:rsidRDefault="0062286F" w:rsidP="0062286F">
      <w:r w:rsidRPr="00E6171F">
        <w:t>W</w:t>
      </w:r>
      <w:r w:rsidR="00600C8D">
        <w:t>orkCover</w:t>
      </w:r>
      <w:r w:rsidRPr="00E6171F">
        <w:t xml:space="preserve"> continue</w:t>
      </w:r>
      <w:r w:rsidR="00600C8D">
        <w:t>s</w:t>
      </w:r>
      <w:r w:rsidRPr="00E6171F">
        <w:t xml:space="preserve"> to invest in technology upgrades that help us reduce administrative tasks and dedicate more time to serving our customers.</w:t>
      </w:r>
      <w:r>
        <w:t xml:space="preserve"> This includes continuing to strengthen our cyber security controls and improvements to our core systems. This remains a focus for 2024</w:t>
      </w:r>
      <w:r w:rsidR="00284E6B">
        <w:t>–20</w:t>
      </w:r>
      <w:r>
        <w:t>25.</w:t>
      </w:r>
    </w:p>
    <w:p w14:paraId="5C2BEC31" w14:textId="77777777" w:rsidR="0062286F" w:rsidRPr="00DD1045" w:rsidRDefault="0062286F" w:rsidP="0062286F">
      <w:pPr>
        <w:pStyle w:val="ARSub-heading1"/>
        <w:rPr>
          <w:rFonts w:eastAsia="Times New Roman" w:cs="Arial"/>
          <w:lang w:eastAsia="en-AU"/>
        </w:rPr>
      </w:pPr>
      <w:bookmarkStart w:id="90" w:name="_Toc172009710"/>
      <w:r w:rsidRPr="00DD1045">
        <w:t>A focus on better support for mental injury</w:t>
      </w:r>
      <w:bookmarkEnd w:id="90"/>
    </w:p>
    <w:p w14:paraId="1C1100AD" w14:textId="209D2ED6" w:rsidR="0062286F" w:rsidRDefault="0062286F" w:rsidP="0062286F">
      <w:r w:rsidRPr="004A7781">
        <w:t>We</w:t>
      </w:r>
      <w:r w:rsidR="00465E77" w:rsidRPr="004A7781">
        <w:t xml:space="preserve"> know we need to do more to support workers with a mental injury and</w:t>
      </w:r>
      <w:r w:rsidRPr="004A7781">
        <w:t xml:space="preserve"> proactively address</w:t>
      </w:r>
      <w:r w:rsidR="00465E77" w:rsidRPr="004A7781">
        <w:t xml:space="preserve"> the continued growth we are </w:t>
      </w:r>
      <w:r w:rsidR="00D67C69" w:rsidRPr="004A7781">
        <w:t>experiencing in these claims.</w:t>
      </w:r>
      <w:r w:rsidR="00D67C69">
        <w:t xml:space="preserve"> </w:t>
      </w:r>
      <w:r>
        <w:t xml:space="preserve">We brought together stakeholders from across the ecosystem to form a Secondary Mental Injury Stakeholder Working Group where we identified key areas for improvement, including leveraging the important role of an employer in the recovery of an injured worker. </w:t>
      </w:r>
    </w:p>
    <w:p w14:paraId="53539D66" w14:textId="7AC557DE" w:rsidR="0062286F" w:rsidRDefault="0062286F" w:rsidP="0062286F">
      <w:r>
        <w:t>To address the increasing trends</w:t>
      </w:r>
      <w:r w:rsidR="00D1067E">
        <w:t xml:space="preserve"> and feedback from stakeholders</w:t>
      </w:r>
      <w:r>
        <w:t>, we have introduced a dedicat</w:t>
      </w:r>
      <w:r w:rsidR="006A6DC9">
        <w:t>ed</w:t>
      </w:r>
      <w:r>
        <w:t xml:space="preserve"> Mental Health and Injury Project to work across key areas. We have:</w:t>
      </w:r>
    </w:p>
    <w:p w14:paraId="49CA46DE" w14:textId="30C16422" w:rsidR="0062286F" w:rsidRDefault="3FDC40A3" w:rsidP="00C73276">
      <w:pPr>
        <w:pStyle w:val="ListParagraph"/>
        <w:numPr>
          <w:ilvl w:val="0"/>
          <w:numId w:val="6"/>
        </w:numPr>
        <w:spacing w:before="0" w:after="160"/>
        <w:ind w:left="584" w:hanging="357"/>
      </w:pPr>
      <w:r>
        <w:t>Researched and scoped</w:t>
      </w:r>
      <w:r w:rsidR="0062286F">
        <w:t xml:space="preserve"> new resources for employers to support them in the management of mental injuries and will </w:t>
      </w:r>
      <w:r w:rsidR="4D3A2A1A">
        <w:t>start to deliver these in the first quarter of</w:t>
      </w:r>
      <w:r w:rsidR="0062286F">
        <w:t xml:space="preserve"> next year</w:t>
      </w:r>
    </w:p>
    <w:p w14:paraId="700D934E" w14:textId="77777777" w:rsidR="0062286F" w:rsidRDefault="0062286F" w:rsidP="00C73276">
      <w:pPr>
        <w:pStyle w:val="ListParagraph"/>
        <w:numPr>
          <w:ilvl w:val="0"/>
          <w:numId w:val="6"/>
        </w:numPr>
        <w:spacing w:before="0" w:after="160"/>
        <w:ind w:left="584" w:hanging="357"/>
      </w:pPr>
      <w:r>
        <w:t>Collaborated directly with key employers to support improvements in mental injury comprehension and return to work practices</w:t>
      </w:r>
    </w:p>
    <w:p w14:paraId="64DE0A7F" w14:textId="3A7739B1" w:rsidR="00853052" w:rsidRDefault="00853052" w:rsidP="00C73276">
      <w:pPr>
        <w:pStyle w:val="ListParagraph"/>
        <w:numPr>
          <w:ilvl w:val="0"/>
          <w:numId w:val="6"/>
        </w:numPr>
        <w:spacing w:before="0" w:after="160"/>
        <w:ind w:left="584" w:hanging="357"/>
      </w:pPr>
      <w:r w:rsidRPr="00853052">
        <w:t>Piloted an early intervention psychosocial screening approach designed to identify and manage barriers for injured workers in their return to work from a physical injury. We are looking at expanding this pilot across our claims management portfolios next year</w:t>
      </w:r>
    </w:p>
    <w:p w14:paraId="467AC825" w14:textId="0490672D" w:rsidR="0062286F" w:rsidRDefault="0062286F" w:rsidP="00C73276">
      <w:pPr>
        <w:pStyle w:val="ListParagraph"/>
        <w:numPr>
          <w:ilvl w:val="0"/>
          <w:numId w:val="6"/>
        </w:numPr>
        <w:spacing w:before="0" w:after="160"/>
        <w:ind w:left="584" w:hanging="357"/>
      </w:pPr>
      <w:r>
        <w:t xml:space="preserve">Undertaken customer research with workers with a mental injury </w:t>
      </w:r>
      <w:r w:rsidR="53A211FE">
        <w:t xml:space="preserve">using our safe feedback framework </w:t>
      </w:r>
      <w:r>
        <w:t>to inform our activities</w:t>
      </w:r>
    </w:p>
    <w:p w14:paraId="6F5D045D" w14:textId="5B394787" w:rsidR="0062286F" w:rsidRDefault="0062286F" w:rsidP="00C73276">
      <w:pPr>
        <w:pStyle w:val="ListParagraph"/>
        <w:numPr>
          <w:ilvl w:val="0"/>
          <w:numId w:val="6"/>
        </w:numPr>
        <w:spacing w:before="0" w:after="160"/>
        <w:ind w:left="584" w:hanging="357"/>
      </w:pPr>
      <w:r>
        <w:t xml:space="preserve">Centralised determinations for mental injuries to support timely </w:t>
      </w:r>
      <w:r w:rsidR="009F5189">
        <w:t>and high</w:t>
      </w:r>
      <w:r w:rsidR="00C04E4C">
        <w:t>-</w:t>
      </w:r>
      <w:r w:rsidR="009F5189">
        <w:t xml:space="preserve">quality </w:t>
      </w:r>
      <w:r>
        <w:t>decision-making. This has seen improvements in our average decision-making timeframes</w:t>
      </w:r>
    </w:p>
    <w:p w14:paraId="3AC76C0B" w14:textId="6DBCA6DA" w:rsidR="371E00B5" w:rsidRDefault="371E00B5" w:rsidP="4959B367">
      <w:pPr>
        <w:pStyle w:val="ListParagraph"/>
        <w:numPr>
          <w:ilvl w:val="0"/>
          <w:numId w:val="6"/>
        </w:numPr>
        <w:spacing w:before="0" w:after="160"/>
        <w:ind w:left="584" w:hanging="357"/>
      </w:pPr>
      <w:r>
        <w:t xml:space="preserve">Used data analytics to </w:t>
      </w:r>
      <w:r w:rsidR="43249C58">
        <w:t>identify and support</w:t>
      </w:r>
      <w:r w:rsidR="379FB280">
        <w:t xml:space="preserve"> workers at risk of developing a secondary mental injury. </w:t>
      </w:r>
    </w:p>
    <w:p w14:paraId="3733CFB5" w14:textId="776F596B" w:rsidR="615B787F" w:rsidRDefault="615B787F" w:rsidP="006A5CFE">
      <w:pPr>
        <w:spacing w:before="0" w:after="160"/>
      </w:pPr>
      <w:r>
        <w:t>These improvements are the first step in a multi-pronged approach to providing more support for workers with a mental injury claim and we are committed to furthering this important work as a priority in 20</w:t>
      </w:r>
      <w:r w:rsidR="4FB3D4A3">
        <w:t>24-2025</w:t>
      </w:r>
      <w:r>
        <w:t xml:space="preserve">. </w:t>
      </w:r>
    </w:p>
    <w:p w14:paraId="06AEE97F" w14:textId="77777777" w:rsidR="0062286F" w:rsidRPr="00DD1045" w:rsidRDefault="0062286F" w:rsidP="0062286F">
      <w:pPr>
        <w:pStyle w:val="ARSub-heading1"/>
      </w:pPr>
      <w:bookmarkStart w:id="91" w:name="_Toc172009711"/>
      <w:r w:rsidRPr="00DD1045">
        <w:t>Referrals to return to work providers</w:t>
      </w:r>
      <w:bookmarkEnd w:id="91"/>
    </w:p>
    <w:p w14:paraId="7F4055BF" w14:textId="0BD3CCDF" w:rsidR="0062286F" w:rsidRDefault="00D848B2" w:rsidP="0062286F">
      <w:r>
        <w:t>WorkCover’s</w:t>
      </w:r>
      <w:r w:rsidR="002D4B1D">
        <w:t xml:space="preserve"> </w:t>
      </w:r>
      <w:r w:rsidR="00FF7BA6">
        <w:t xml:space="preserve">expert panel of </w:t>
      </w:r>
      <w:r w:rsidR="00665D32">
        <w:t>workplace rehabilitation provider</w:t>
      </w:r>
      <w:r w:rsidR="006643D1">
        <w:t xml:space="preserve">s </w:t>
      </w:r>
      <w:r w:rsidR="00B81BE3">
        <w:t>assist</w:t>
      </w:r>
      <w:r w:rsidR="006643D1">
        <w:t xml:space="preserve"> our people and our customers to facilitate</w:t>
      </w:r>
      <w:r w:rsidR="002675D4">
        <w:t>, plan</w:t>
      </w:r>
      <w:r w:rsidR="006643D1">
        <w:t xml:space="preserve"> </w:t>
      </w:r>
      <w:r w:rsidR="001202FC">
        <w:t>and s</w:t>
      </w:r>
      <w:r w:rsidR="00941C04">
        <w:t>upport</w:t>
      </w:r>
      <w:r w:rsidR="001202FC">
        <w:t xml:space="preserve"> </w:t>
      </w:r>
      <w:r w:rsidR="00CC0D15">
        <w:t xml:space="preserve">rehabilitation and </w:t>
      </w:r>
      <w:r w:rsidR="006643D1">
        <w:t>return to work o</w:t>
      </w:r>
      <w:r w:rsidR="008F654C">
        <w:t>pportunities</w:t>
      </w:r>
      <w:r w:rsidR="004E1DDB">
        <w:t xml:space="preserve">. We made </w:t>
      </w:r>
      <w:r w:rsidR="004E1DDB" w:rsidRPr="004A7781">
        <w:t>10,219 referrals</w:t>
      </w:r>
      <w:r w:rsidR="00481B89" w:rsidRPr="004A7781">
        <w:t xml:space="preserve"> to th</w:t>
      </w:r>
      <w:r w:rsidR="007D39AD" w:rsidRPr="004A7781">
        <w:t>is panel in 2023–2024</w:t>
      </w:r>
      <w:r w:rsidR="00747B85" w:rsidRPr="004A7781">
        <w:t>, an increase</w:t>
      </w:r>
      <w:r w:rsidR="0082769A" w:rsidRPr="004A7781">
        <w:t xml:space="preserve"> of 13.5%</w:t>
      </w:r>
      <w:r w:rsidR="0082769A">
        <w:t xml:space="preserve"> on 2022–2023</w:t>
      </w:r>
      <w:r w:rsidR="006C5CAE">
        <w:t xml:space="preserve"> referrals</w:t>
      </w:r>
      <w:r w:rsidR="0082769A">
        <w:t>.</w:t>
      </w:r>
    </w:p>
    <w:p w14:paraId="4D5E8745" w14:textId="77777777" w:rsidR="004A4E62" w:rsidRDefault="004A4E62" w:rsidP="0062286F"/>
    <w:p w14:paraId="76F55712" w14:textId="062B3410" w:rsidR="0062286F" w:rsidRDefault="00064605" w:rsidP="0062286F">
      <w:pPr>
        <w:pStyle w:val="ARHeading1"/>
      </w:pPr>
      <w:bookmarkStart w:id="92" w:name="_Toc172009712"/>
      <w:r>
        <w:t>Five-year</w:t>
      </w:r>
      <w:r w:rsidR="0062286F">
        <w:t xml:space="preserve"> review </w:t>
      </w:r>
      <w:bookmarkEnd w:id="92"/>
    </w:p>
    <w:p w14:paraId="3D1A3923" w14:textId="576735D8" w:rsidR="0062286F" w:rsidRDefault="0062286F" w:rsidP="0062286F">
      <w:r w:rsidRPr="00766FEC">
        <w:t>Every five years</w:t>
      </w:r>
      <w:r w:rsidR="00B81BE3">
        <w:t>,</w:t>
      </w:r>
      <w:r w:rsidRPr="00766FEC">
        <w:t xml:space="preserve"> Queensland undertakes an independent review of the workers’ compensation scheme.</w:t>
      </w:r>
      <w:r>
        <w:t xml:space="preserve"> </w:t>
      </w:r>
      <w:r w:rsidRPr="00006AE0">
        <w:t>The review found the scheme is still performing well and identified several opportunities to address scheme trends and improve the workers’ compensation process</w:t>
      </w:r>
      <w:r>
        <w:t xml:space="preserve">. 49 of the 54 recommendations were accepted, fully or in principle, and </w:t>
      </w:r>
      <w:r w:rsidR="002806C5">
        <w:t>WorkCover is working with the Office of Industrial Relations and external stakeholders to implement these changes.</w:t>
      </w:r>
    </w:p>
    <w:p w14:paraId="09FA7423" w14:textId="77777777" w:rsidR="004A4E62" w:rsidRDefault="004A4E62" w:rsidP="0062286F"/>
    <w:p w14:paraId="320EC743" w14:textId="77777777" w:rsidR="0062286F" w:rsidRPr="00DD1045" w:rsidRDefault="0062286F" w:rsidP="0062286F">
      <w:pPr>
        <w:pStyle w:val="ARHeading1"/>
      </w:pPr>
      <w:bookmarkStart w:id="93" w:name="_Toc172009713"/>
      <w:r w:rsidRPr="00DD1045">
        <w:t>Common law trends</w:t>
      </w:r>
      <w:bookmarkEnd w:id="93"/>
    </w:p>
    <w:p w14:paraId="1B0E4F05" w14:textId="64C103F4" w:rsidR="002604DD" w:rsidRDefault="00ED6F64" w:rsidP="0062286F">
      <w:r>
        <w:t xml:space="preserve">WorkCover manages </w:t>
      </w:r>
      <w:r w:rsidR="00637BA1">
        <w:t>common law claims through an external panel of experienced legal practitioners</w:t>
      </w:r>
      <w:r w:rsidR="00FD39D0">
        <w:t>. The panel was appointed from 1 July 2024 following a competitive tender process</w:t>
      </w:r>
      <w:r w:rsidR="00D94458">
        <w:t xml:space="preserve">. </w:t>
      </w:r>
    </w:p>
    <w:p w14:paraId="362E7A38" w14:textId="64454AAE" w:rsidR="005C0239" w:rsidRDefault="00C534EC" w:rsidP="005C0239">
      <w:r>
        <w:t xml:space="preserve">Common law damages and legal costs </w:t>
      </w:r>
      <w:r w:rsidR="001D6665">
        <w:t>were</w:t>
      </w:r>
      <w:r>
        <w:t xml:space="preserve"> well controlled</w:t>
      </w:r>
      <w:r w:rsidR="001D6665">
        <w:t xml:space="preserve"> with the average common law </w:t>
      </w:r>
      <w:r w:rsidR="002604DD">
        <w:t xml:space="preserve">claim </w:t>
      </w:r>
      <w:r w:rsidR="001D6665">
        <w:t>cost under target</w:t>
      </w:r>
      <w:r w:rsidR="00E51CC9">
        <w:t xml:space="preserve"> at </w:t>
      </w:r>
      <w:r w:rsidR="00E51CC9" w:rsidRPr="004A7781">
        <w:t>$</w:t>
      </w:r>
      <w:r w:rsidR="008C209E" w:rsidRPr="004A7781">
        <w:t>20</w:t>
      </w:r>
      <w:r w:rsidR="00E16669" w:rsidRPr="004A7781">
        <w:t>8,876</w:t>
      </w:r>
      <w:r w:rsidR="00E51CC9" w:rsidRPr="008601DD">
        <w:t>.</w:t>
      </w:r>
      <w:r w:rsidR="001D6665">
        <w:t xml:space="preserve"> </w:t>
      </w:r>
      <w:r w:rsidR="00E51CC9">
        <w:t>H</w:t>
      </w:r>
      <w:r w:rsidR="001D6665">
        <w:t xml:space="preserve">owever, continued </w:t>
      </w:r>
      <w:r w:rsidR="00E51CC9">
        <w:t>growth in primary and secondary mental injury claims</w:t>
      </w:r>
      <w:r w:rsidR="001F0BC6">
        <w:t xml:space="preserve"> is putting upward pressure on claims costs and durations.</w:t>
      </w:r>
      <w:r w:rsidR="003231AA">
        <w:t xml:space="preserve"> More than 3,300 common law claims were resolved during </w:t>
      </w:r>
      <w:r w:rsidR="005C0239">
        <w:t>2023–2024.</w:t>
      </w:r>
      <w:bookmarkStart w:id="94" w:name="_Toc172009714"/>
    </w:p>
    <w:p w14:paraId="44F94E5F" w14:textId="77777777" w:rsidR="004A4E62" w:rsidRDefault="004A4E62">
      <w:pPr>
        <w:spacing w:before="0" w:after="160"/>
      </w:pPr>
    </w:p>
    <w:p w14:paraId="41095322" w14:textId="77777777" w:rsidR="00DE3008" w:rsidRDefault="00DE3008">
      <w:pPr>
        <w:spacing w:before="0" w:after="160"/>
        <w:sectPr w:rsidR="00DE3008" w:rsidSect="00DE3008">
          <w:type w:val="continuous"/>
          <w:pgSz w:w="11906" w:h="16838"/>
          <w:pgMar w:top="1440" w:right="1440" w:bottom="1440" w:left="1440" w:header="708" w:footer="708" w:gutter="0"/>
          <w:cols w:num="2" w:space="708"/>
          <w:docGrid w:linePitch="360"/>
        </w:sectPr>
      </w:pPr>
    </w:p>
    <w:p w14:paraId="34F9A854" w14:textId="764006B7" w:rsidR="002E4A02" w:rsidRPr="00DD1045" w:rsidRDefault="000752D6" w:rsidP="00595FDD">
      <w:pPr>
        <w:pStyle w:val="ARMainTitle"/>
        <w:pBdr>
          <w:bottom w:val="single" w:sz="4" w:space="1" w:color="auto"/>
        </w:pBdr>
      </w:pPr>
      <w:r w:rsidRPr="00DD1045">
        <w:lastRenderedPageBreak/>
        <w:t xml:space="preserve">Improving outcomes </w:t>
      </w:r>
      <w:r w:rsidR="00E81370">
        <w:t>through</w:t>
      </w:r>
      <w:r w:rsidR="00E81370" w:rsidRPr="00DD1045">
        <w:t xml:space="preserve"> </w:t>
      </w:r>
      <w:r w:rsidRPr="00DD1045">
        <w:t>partnerships</w:t>
      </w:r>
      <w:bookmarkEnd w:id="94"/>
    </w:p>
    <w:p w14:paraId="7E43FD29" w14:textId="77777777" w:rsidR="00973391" w:rsidRDefault="00973391" w:rsidP="00413726">
      <w:pPr>
        <w:sectPr w:rsidR="00973391" w:rsidSect="0012721E">
          <w:type w:val="continuous"/>
          <w:pgSz w:w="11906" w:h="16838"/>
          <w:pgMar w:top="1440" w:right="1440" w:bottom="1440" w:left="1440" w:header="708" w:footer="708" w:gutter="0"/>
          <w:cols w:space="708"/>
          <w:docGrid w:linePitch="360"/>
        </w:sectPr>
      </w:pPr>
    </w:p>
    <w:p w14:paraId="39F8E3E6" w14:textId="61A888CB" w:rsidR="00813C3D" w:rsidRPr="00DF503E" w:rsidRDefault="00813C3D" w:rsidP="00931C5D">
      <w:pPr>
        <w:pStyle w:val="ARSub-heading2"/>
      </w:pPr>
      <w:r w:rsidRPr="00DF503E">
        <w:t xml:space="preserve">One of our strategic goals is to create valued experiences ensuring we care for and support injured workers and employers by engaging collaboratively. WorkCover </w:t>
      </w:r>
      <w:r w:rsidR="00E81370">
        <w:t>has</w:t>
      </w:r>
      <w:r w:rsidR="00E81370" w:rsidRPr="00DF503E">
        <w:t xml:space="preserve"> </w:t>
      </w:r>
      <w:r w:rsidRPr="00DF503E">
        <w:t>a dedicated research team who conduct research with our stakeholders across the ecosystem to ensure the solutions we are providing are designed with their needs in mind.  </w:t>
      </w:r>
    </w:p>
    <w:p w14:paraId="1C4BC998" w14:textId="77777777" w:rsidR="00813C3D" w:rsidRPr="00DF503E" w:rsidRDefault="00813C3D" w:rsidP="00DF503E">
      <w:pPr>
        <w:pStyle w:val="ARHeading1"/>
      </w:pPr>
      <w:bookmarkStart w:id="95" w:name="_Toc172009715"/>
      <w:r w:rsidRPr="00DF503E">
        <w:t>Our areas of engagement</w:t>
      </w:r>
      <w:bookmarkEnd w:id="95"/>
      <w:r w:rsidRPr="00DF503E">
        <w:t> </w:t>
      </w:r>
    </w:p>
    <w:p w14:paraId="22819A4C" w14:textId="1DE910E5" w:rsidR="00813C3D" w:rsidRPr="00DF503E" w:rsidRDefault="00813C3D" w:rsidP="00DF503E">
      <w:r w:rsidRPr="00DF503E">
        <w:t>W</w:t>
      </w:r>
      <w:r w:rsidR="00D02FD1">
        <w:t>orkCover</w:t>
      </w:r>
      <w:r w:rsidRPr="00DF503E">
        <w:t xml:space="preserve"> continued to work with important stakeholders, including medical and allied health associations, panel providers, industry associations, employer groups, and unions as part of our strategic goal to create valued experiences for injured workers and employers. </w:t>
      </w:r>
      <w:r w:rsidR="0022052B">
        <w:t>E</w:t>
      </w:r>
      <w:r w:rsidRPr="00DF503E">
        <w:t>ffective collaboration</w:t>
      </w:r>
      <w:r w:rsidR="001520B0">
        <w:t xml:space="preserve"> helps</w:t>
      </w:r>
      <w:r w:rsidRPr="00DF503E">
        <w:t xml:space="preserve"> to achieve positive return to work outcomes for workers at a reasonable cost, reducing the impact of claims costs on employer premiums. </w:t>
      </w:r>
    </w:p>
    <w:p w14:paraId="31FC55CF" w14:textId="77777777" w:rsidR="00290147" w:rsidRDefault="00290147" w:rsidP="00DF503E">
      <w:pPr>
        <w:pStyle w:val="ARSub-heading1"/>
        <w:sectPr w:rsidR="00290147" w:rsidSect="0012721E">
          <w:type w:val="continuous"/>
          <w:pgSz w:w="11906" w:h="16838"/>
          <w:pgMar w:top="1440" w:right="1440" w:bottom="1440" w:left="1440" w:header="708" w:footer="708" w:gutter="0"/>
          <w:cols w:space="708"/>
          <w:docGrid w:linePitch="360"/>
        </w:sectPr>
      </w:pPr>
    </w:p>
    <w:p w14:paraId="343B10D1" w14:textId="77777777" w:rsidR="00813C3D" w:rsidRPr="00DF503E" w:rsidRDefault="00813C3D" w:rsidP="00DF503E">
      <w:pPr>
        <w:pStyle w:val="ARSub-heading1"/>
      </w:pPr>
      <w:bookmarkStart w:id="96" w:name="_Toc172009716"/>
      <w:r w:rsidRPr="00DF503E">
        <w:t>Customer engagement</w:t>
      </w:r>
      <w:bookmarkEnd w:id="96"/>
      <w:r w:rsidRPr="00DF503E">
        <w:t> </w:t>
      </w:r>
    </w:p>
    <w:p w14:paraId="5901020F" w14:textId="0EBDEE57" w:rsidR="00813C3D" w:rsidRPr="00DF503E" w:rsidRDefault="00813C3D" w:rsidP="00DF503E">
      <w:r w:rsidRPr="00DF503E">
        <w:t xml:space="preserve">For our customers, we promoted the Injury Prevention and Management Program </w:t>
      </w:r>
      <w:r w:rsidRPr="005E5A85">
        <w:t>(</w:t>
      </w:r>
      <w:r w:rsidRPr="00AF7737">
        <w:t>IPaM</w:t>
      </w:r>
      <w:r w:rsidRPr="005E5A85">
        <w:t>),</w:t>
      </w:r>
      <w:r w:rsidRPr="00DF503E">
        <w:t xml:space="preserve"> a joint initiative between WorkCover and Workplace Health and Safety Queensland </w:t>
      </w:r>
      <w:r w:rsidRPr="005E5A85">
        <w:t>(</w:t>
      </w:r>
      <w:r w:rsidRPr="00AF7737">
        <w:t>WHSQ</w:t>
      </w:r>
      <w:r w:rsidRPr="005E5A85">
        <w:t>),</w:t>
      </w:r>
      <w:r w:rsidRPr="00DF503E">
        <w:t xml:space="preserve"> following the program’s review and redesign in 2023. Queensland businesses </w:t>
      </w:r>
      <w:r w:rsidR="00E05EBE">
        <w:t>can</w:t>
      </w:r>
      <w:r w:rsidRPr="00DF503E">
        <w:t xml:space="preserve"> register their interest in the free program that provides employers with a review of their current injury prevention and management processes and offers them a tailored business improvement plan. We have referred </w:t>
      </w:r>
      <w:r w:rsidRPr="004A7781">
        <w:t>over 120</w:t>
      </w:r>
      <w:r w:rsidRPr="00DF503E">
        <w:t xml:space="preserve"> businesses to IPaM since November 2023. </w:t>
      </w:r>
    </w:p>
    <w:p w14:paraId="16B8D504" w14:textId="11A757BC" w:rsidR="00813C3D" w:rsidRPr="00DF503E" w:rsidRDefault="00013BAF" w:rsidP="00DF503E">
      <w:r>
        <w:t xml:space="preserve">In March 2024, </w:t>
      </w:r>
      <w:r w:rsidR="00065EBE">
        <w:t xml:space="preserve">the </w:t>
      </w:r>
      <w:r w:rsidR="00813C3D" w:rsidRPr="00DF503E">
        <w:t xml:space="preserve">new Strategic Government Account Management and Engagement Framework </w:t>
      </w:r>
      <w:r w:rsidR="00065EBE">
        <w:t xml:space="preserve">was launched </w:t>
      </w:r>
      <w:r w:rsidR="00813C3D" w:rsidRPr="00DF503E">
        <w:t>with our top Queensland Government employers. </w:t>
      </w:r>
    </w:p>
    <w:p w14:paraId="4BD0AC94" w14:textId="6EA17F0C" w:rsidR="00813C3D" w:rsidRPr="00DF503E" w:rsidRDefault="00065EBE" w:rsidP="00DF503E">
      <w:r>
        <w:t xml:space="preserve">The </w:t>
      </w:r>
      <w:r w:rsidR="00813C3D" w:rsidRPr="00DF503E">
        <w:t xml:space="preserve">Aged Care and Disability Care industry network breakfast </w:t>
      </w:r>
      <w:r>
        <w:t xml:space="preserve">was held </w:t>
      </w:r>
      <w:r w:rsidR="00813C3D" w:rsidRPr="00DF503E">
        <w:t xml:space="preserve">on 13 June 2024, after </w:t>
      </w:r>
      <w:r w:rsidR="00252F8F">
        <w:t xml:space="preserve">feedback from </w:t>
      </w:r>
      <w:r w:rsidR="00813C3D" w:rsidRPr="00DF503E">
        <w:t xml:space="preserve">employers </w:t>
      </w:r>
      <w:r w:rsidR="00252F8F">
        <w:t xml:space="preserve">on </w:t>
      </w:r>
      <w:r w:rsidR="00813C3D" w:rsidRPr="00DF503E">
        <w:t>how we could support them to improve their claims performance. We will continue to foster industry networks where businesses can learn from each other on injury risk reduction and management approaches. </w:t>
      </w:r>
    </w:p>
    <w:p w14:paraId="1F799777" w14:textId="76057985" w:rsidR="00813C3D" w:rsidRDefault="00A57ABE" w:rsidP="00DF503E">
      <w:r>
        <w:t>E</w:t>
      </w:r>
      <w:r w:rsidR="00813C3D" w:rsidRPr="00DF503E">
        <w:t>-newsletters for our customers</w:t>
      </w:r>
      <w:r w:rsidR="00952B3D">
        <w:t xml:space="preserve"> have been</w:t>
      </w:r>
      <w:r w:rsidR="00813C3D" w:rsidRPr="00DF503E">
        <w:t xml:space="preserve"> tailor</w:t>
      </w:r>
      <w:r w:rsidR="00952B3D">
        <w:t xml:space="preserve">ed </w:t>
      </w:r>
      <w:r w:rsidR="00FB56B7">
        <w:t>with</w:t>
      </w:r>
      <w:r w:rsidR="00813C3D" w:rsidRPr="00DF503E">
        <w:t xml:space="preserve"> content to</w:t>
      </w:r>
      <w:r w:rsidR="00FB56B7">
        <w:t xml:space="preserve"> assist</w:t>
      </w:r>
      <w:r w:rsidR="00813C3D" w:rsidRPr="00DF503E">
        <w:t xml:space="preserve"> small and large businesses, facilitat</w:t>
      </w:r>
      <w:r w:rsidR="00590F6A">
        <w:t>ing</w:t>
      </w:r>
      <w:r w:rsidR="00813C3D" w:rsidRPr="00DF503E">
        <w:t xml:space="preserve"> better access and use of safety and return to work resources and information. </w:t>
      </w:r>
    </w:p>
    <w:p w14:paraId="225F8247" w14:textId="77777777" w:rsidR="004D24ED" w:rsidRPr="00DF503E" w:rsidRDefault="004D24ED" w:rsidP="00DF503E"/>
    <w:p w14:paraId="16B460B6" w14:textId="77777777" w:rsidR="00813C3D" w:rsidRPr="00DF503E" w:rsidRDefault="00813C3D" w:rsidP="00DF503E">
      <w:pPr>
        <w:pStyle w:val="ARSub-heading1"/>
      </w:pPr>
      <w:bookmarkStart w:id="97" w:name="_Toc172009717"/>
      <w:r w:rsidRPr="00DF503E">
        <w:t>Provider engagement</w:t>
      </w:r>
      <w:bookmarkEnd w:id="97"/>
      <w:r w:rsidRPr="00DF503E">
        <w:t> </w:t>
      </w:r>
    </w:p>
    <w:p w14:paraId="20EEED9A" w14:textId="3772BF2D" w:rsidR="00813C3D" w:rsidRPr="00DF503E" w:rsidRDefault="00B438F1" w:rsidP="00DF503E">
      <w:r>
        <w:t>R</w:t>
      </w:r>
      <w:r w:rsidRPr="00DF503E">
        <w:t xml:space="preserve">egular e-newsletters </w:t>
      </w:r>
      <w:r>
        <w:t xml:space="preserve">were introduced </w:t>
      </w:r>
      <w:r w:rsidRPr="00DF503E">
        <w:t>for medical and allied health providers</w:t>
      </w:r>
      <w:r>
        <w:t xml:space="preserve"> in response to f</w:t>
      </w:r>
      <w:r w:rsidR="00813C3D" w:rsidRPr="00DF503E">
        <w:t>eedback from our</w:t>
      </w:r>
      <w:r w:rsidR="00E540CF">
        <w:t xml:space="preserve"> provider</w:t>
      </w:r>
      <w:r w:rsidR="00813C3D" w:rsidRPr="00DF503E">
        <w:t xml:space="preserve"> stakeholders </w:t>
      </w:r>
      <w:r>
        <w:t xml:space="preserve">that </w:t>
      </w:r>
      <w:r w:rsidR="00813C3D" w:rsidRPr="00DF503E">
        <w:t>they wanted more communication sharing industry knowledge, trends and relevant updates</w:t>
      </w:r>
      <w:r>
        <w:t xml:space="preserve">. </w:t>
      </w:r>
      <w:r w:rsidR="00E540CF">
        <w:t xml:space="preserve"> </w:t>
      </w:r>
      <w:r w:rsidR="00813C3D" w:rsidRPr="00DF503E">
        <w:t>This is part of our commitment to ensure our key stakeholders are informed and have useful and practical resources on workers’ compensation topics to share with their own networks. </w:t>
      </w:r>
    </w:p>
    <w:p w14:paraId="091DEB5D" w14:textId="7578099A" w:rsidR="00813C3D" w:rsidRPr="00DF503E" w:rsidRDefault="00813C3D" w:rsidP="00DF503E">
      <w:r w:rsidRPr="00DF503E">
        <w:t>W</w:t>
      </w:r>
      <w:r w:rsidR="0026574E">
        <w:t>orkCover</w:t>
      </w:r>
      <w:r w:rsidRPr="00DF503E">
        <w:t xml:space="preserve"> became a</w:t>
      </w:r>
      <w:r w:rsidR="00D52DC7">
        <w:t xml:space="preserve"> Continuing Professional Development (</w:t>
      </w:r>
      <w:r w:rsidRPr="00DF503E">
        <w:t>CPD</w:t>
      </w:r>
      <w:r w:rsidR="00D52DC7">
        <w:t>)</w:t>
      </w:r>
      <w:r w:rsidRPr="00DF503E">
        <w:t xml:space="preserve"> approved provider for the </w:t>
      </w:r>
      <w:r w:rsidRPr="005E5A85">
        <w:t>Royal Australian College of General Practitioners (</w:t>
      </w:r>
      <w:r w:rsidRPr="00AF7737">
        <w:t>RACGP</w:t>
      </w:r>
      <w:r w:rsidRPr="00DF503E">
        <w:t>) and the first of our online modules, “Understanding WorkCover Queensland and workers’ compensation”, was launched via the RACGP CPD platform in April 2024. </w:t>
      </w:r>
    </w:p>
    <w:p w14:paraId="5BDB0E06" w14:textId="1A589C5C" w:rsidR="00813C3D" w:rsidRPr="00DF503E" w:rsidRDefault="00B438F1" w:rsidP="00DF503E">
      <w:r>
        <w:t>The</w:t>
      </w:r>
      <w:r w:rsidR="00813C3D" w:rsidRPr="00DF503E">
        <w:t xml:space="preserve"> Return to Work Services Provider Panel Forums </w:t>
      </w:r>
      <w:r>
        <w:t xml:space="preserve">were hosted </w:t>
      </w:r>
      <w:r w:rsidR="00813C3D" w:rsidRPr="00DF503E">
        <w:t xml:space="preserve">on 20 March and 23 April 2024, </w:t>
      </w:r>
      <w:r w:rsidR="00990289">
        <w:t xml:space="preserve">facilitating </w:t>
      </w:r>
      <w:r w:rsidR="00813C3D" w:rsidRPr="00DF503E">
        <w:t xml:space="preserve">discussion with providers on opportunities to continue to improve </w:t>
      </w:r>
      <w:r w:rsidR="006C3B2E">
        <w:t>how we</w:t>
      </w:r>
      <w:r w:rsidR="00813C3D" w:rsidRPr="00DF503E">
        <w:t xml:space="preserve"> work together to provide better service and outcomes to our customers. </w:t>
      </w:r>
    </w:p>
    <w:p w14:paraId="7DB5E1B4" w14:textId="422CF3A0" w:rsidR="00813C3D" w:rsidRDefault="00B71A8E" w:rsidP="00DF503E">
      <w:r>
        <w:t xml:space="preserve">Our providers </w:t>
      </w:r>
      <w:r w:rsidR="00813C3D" w:rsidRPr="00DF503E">
        <w:t xml:space="preserve">have continued to </w:t>
      </w:r>
      <w:r w:rsidR="00A553E4">
        <w:t>participate in our</w:t>
      </w:r>
      <w:r w:rsidR="00813C3D" w:rsidRPr="00DF503E">
        <w:t xml:space="preserve"> education sessions across Queensland</w:t>
      </w:r>
      <w:r w:rsidR="00A553E4">
        <w:t>,</w:t>
      </w:r>
      <w:r w:rsidR="00813C3D" w:rsidRPr="00DF503E">
        <w:t xml:space="preserve"> including GP Registrar training, the Faculty of Pain Medicine and physiotherapy students at the Australian Catholic University. </w:t>
      </w:r>
    </w:p>
    <w:p w14:paraId="05FA0547" w14:textId="77777777" w:rsidR="004D24ED" w:rsidRDefault="004D24ED" w:rsidP="00DF503E"/>
    <w:p w14:paraId="2D82E1AA" w14:textId="77777777" w:rsidR="004D24ED" w:rsidRDefault="004D24ED" w:rsidP="00DF503E"/>
    <w:p w14:paraId="2AF05A3C" w14:textId="77777777" w:rsidR="004D24ED" w:rsidRPr="00DF503E" w:rsidRDefault="004D24ED" w:rsidP="00DF503E"/>
    <w:p w14:paraId="45A0BB50" w14:textId="77777777" w:rsidR="00813C3D" w:rsidRPr="00DF503E" w:rsidRDefault="00813C3D" w:rsidP="00DF503E">
      <w:pPr>
        <w:pStyle w:val="ARSub-heading1"/>
      </w:pPr>
      <w:bookmarkStart w:id="98" w:name="_Toc172009718"/>
      <w:r w:rsidRPr="00DF503E">
        <w:lastRenderedPageBreak/>
        <w:t>Regional engagement</w:t>
      </w:r>
      <w:bookmarkEnd w:id="98"/>
      <w:r w:rsidRPr="00DF503E">
        <w:t> </w:t>
      </w:r>
    </w:p>
    <w:p w14:paraId="423ECEE5" w14:textId="3B6C96CC" w:rsidR="00813C3D" w:rsidRPr="00DF503E" w:rsidRDefault="00813C3D" w:rsidP="00DF503E">
      <w:r w:rsidRPr="00DF503E">
        <w:t xml:space="preserve">For our regional customers, </w:t>
      </w:r>
      <w:r w:rsidR="006C1962">
        <w:t>WorkCover</w:t>
      </w:r>
      <w:r w:rsidRPr="00DF503E">
        <w:t xml:space="preserve"> participated as an exhibitor in Workplace Health and Safety Queensland’s Work Well Conferences in Brisbane in October 2023 and in Townsville in May 2024</w:t>
      </w:r>
      <w:r w:rsidR="00805DDF">
        <w:t>.</w:t>
      </w:r>
      <w:r w:rsidR="0065644B">
        <w:t xml:space="preserve"> </w:t>
      </w:r>
      <w:r w:rsidR="00480D12">
        <w:t>A</w:t>
      </w:r>
      <w:r w:rsidRPr="00DF503E">
        <w:t xml:space="preserve"> stakeholder breakfast</w:t>
      </w:r>
      <w:r w:rsidR="00480D12">
        <w:t xml:space="preserve"> was held</w:t>
      </w:r>
      <w:r w:rsidRPr="00DF503E">
        <w:t xml:space="preserve"> in Rockhampton on 30 April 2024, with </w:t>
      </w:r>
      <w:r w:rsidR="006425AF">
        <w:t xml:space="preserve">the </w:t>
      </w:r>
      <w:r w:rsidRPr="00DF503E">
        <w:t>WorkCover Board in attendance with local stakeholders. We</w:t>
      </w:r>
      <w:r w:rsidR="00D80250">
        <w:t xml:space="preserve"> also</w:t>
      </w:r>
      <w:r w:rsidRPr="00DF503E">
        <w:t xml:space="preserve"> shared mental injuries trends and what we are doing to address these, as well as an update on the five-year scheme review. </w:t>
      </w:r>
    </w:p>
    <w:p w14:paraId="7E93F111" w14:textId="7F26E345" w:rsidR="007B2625" w:rsidRPr="00DF503E" w:rsidRDefault="003C3ACC" w:rsidP="00DF503E">
      <w:r>
        <w:t>WorkCover has</w:t>
      </w:r>
      <w:r w:rsidR="00813C3D" w:rsidRPr="00DF503E">
        <w:t xml:space="preserve"> increased </w:t>
      </w:r>
      <w:r>
        <w:t xml:space="preserve">its </w:t>
      </w:r>
      <w:r w:rsidR="00813C3D" w:rsidRPr="00DF503E">
        <w:t xml:space="preserve">engagement with customers and stakeholders across Queensland with our webinar series that has covered topics such as workplace bullying and harassment claims, work social functions and employer liability, and secondary mental injuries – prevention and support. </w:t>
      </w:r>
      <w:r w:rsidR="00930891">
        <w:t>Registration</w:t>
      </w:r>
      <w:r w:rsidR="009C7A5D">
        <w:t xml:space="preserve">s averaged </w:t>
      </w:r>
      <w:r w:rsidR="009C7A5D" w:rsidRPr="004A7781">
        <w:t xml:space="preserve">around 700 </w:t>
      </w:r>
      <w:r w:rsidR="128F0623" w:rsidRPr="004A7781">
        <w:t xml:space="preserve">attendees </w:t>
      </w:r>
      <w:r w:rsidR="009C7A5D" w:rsidRPr="004A7781">
        <w:t>across the eight webinars delivered, with total views of the webinar recordings exceeding 9,000.</w:t>
      </w:r>
      <w:r w:rsidR="009C7A5D">
        <w:t xml:space="preserve"> </w:t>
      </w:r>
    </w:p>
    <w:p w14:paraId="0C941D21" w14:textId="77777777" w:rsidR="00813C3D" w:rsidRPr="00DF503E" w:rsidRDefault="00813C3D" w:rsidP="00DF503E">
      <w:pPr>
        <w:pStyle w:val="ARSub-heading1"/>
      </w:pPr>
      <w:bookmarkStart w:id="99" w:name="_Toc172009719"/>
      <w:r w:rsidRPr="00DF503E">
        <w:t>Industry engagement</w:t>
      </w:r>
      <w:bookmarkEnd w:id="99"/>
      <w:r w:rsidRPr="00DF503E">
        <w:t> </w:t>
      </w:r>
    </w:p>
    <w:p w14:paraId="6AFBA56F" w14:textId="613BBADF" w:rsidR="00813C3D" w:rsidRPr="00DF503E" w:rsidRDefault="00813C3D" w:rsidP="00DF503E">
      <w:r w:rsidRPr="00DF503E">
        <w:t xml:space="preserve">For our industry partners, </w:t>
      </w:r>
      <w:r w:rsidR="00D40F69">
        <w:t>WorkCover</w:t>
      </w:r>
      <w:r w:rsidRPr="00DF503E">
        <w:t xml:space="preserve"> introduced regular e-newsletters for unions, employer groups and industry associations to keep them updated on the latest workers’ compensation news and practical resources for their members. </w:t>
      </w:r>
      <w:r w:rsidR="00E44EFD">
        <w:t xml:space="preserve">A </w:t>
      </w:r>
      <w:r w:rsidRPr="00DF503E">
        <w:t>Secondary Mental Injury Working Group</w:t>
      </w:r>
      <w:r w:rsidR="00E44EFD" w:rsidRPr="00E44EFD">
        <w:t xml:space="preserve"> </w:t>
      </w:r>
      <w:r w:rsidR="00E44EFD" w:rsidRPr="00DF503E">
        <w:t xml:space="preserve">brought together industry representatives to </w:t>
      </w:r>
      <w:r w:rsidRPr="00DF503E">
        <w:t>focus on collaboratively identifying opportunities to mitigate secondary mental injuries.  </w:t>
      </w:r>
      <w:r w:rsidR="00E541BD">
        <w:t xml:space="preserve">In May, the </w:t>
      </w:r>
      <w:r w:rsidRPr="00DF503E">
        <w:t xml:space="preserve">National Premium Forum for Workers’ Compensation </w:t>
      </w:r>
      <w:r w:rsidR="00E541BD">
        <w:t xml:space="preserve">was hosted </w:t>
      </w:r>
      <w:r w:rsidRPr="00DF503E">
        <w:t>in Brisbane</w:t>
      </w:r>
      <w:r w:rsidR="00E541BD">
        <w:t>, bringing together</w:t>
      </w:r>
      <w:r w:rsidRPr="00DF503E">
        <w:t xml:space="preserve"> several workers’ compensation insurers across six jurisdictions to share scheme updates, discuss current and future trends, and how we can collaborate to address shared challenges. </w:t>
      </w:r>
    </w:p>
    <w:p w14:paraId="53069686" w14:textId="390FBC4F" w:rsidR="00813C3D" w:rsidRPr="00DF503E" w:rsidRDefault="00D338B3" w:rsidP="00DF503E">
      <w:r>
        <w:t>WorkCover has</w:t>
      </w:r>
      <w:r w:rsidR="00813C3D" w:rsidRPr="00DF503E">
        <w:t xml:space="preserve"> continued to advocate for better health and recovery outcomes and reducing barriers to care for people experiencing work injuries, with It Pays to Care</w:t>
      </w:r>
      <w:r w:rsidR="00502E3E">
        <w:t xml:space="preserve"> (</w:t>
      </w:r>
      <w:hyperlink r:id="rId33" w:history="1">
        <w:r w:rsidR="00F14B7D" w:rsidRPr="009842D8">
          <w:rPr>
            <w:rStyle w:val="Hyperlink"/>
            <w:color w:val="auto"/>
          </w:rPr>
          <w:t>https://www.racp.edu.au/policy-and-advocacy/division-faculty-and-chapter-priorities/faculty-of-occupational-environmental-medicine/it-pays-to-care</w:t>
        </w:r>
      </w:hyperlink>
      <w:r w:rsidR="00F14B7D">
        <w:t>)</w:t>
      </w:r>
      <w:r w:rsidR="00813C3D" w:rsidRPr="00DF503E">
        <w:t>, the policy paper published by the Australasian Faculty of Occupational and Environmental Medicine.</w:t>
      </w:r>
      <w:r w:rsidR="009374CA">
        <w:t xml:space="preserve"> These messages have been shared </w:t>
      </w:r>
      <w:r w:rsidR="00813C3D" w:rsidRPr="00DF503E">
        <w:t xml:space="preserve">with our customers and stakeholders, including medical and allied </w:t>
      </w:r>
      <w:r w:rsidR="00813C3D" w:rsidRPr="00DF503E">
        <w:t>health providers, industry associations, employer groups, and unions. </w:t>
      </w:r>
      <w:r w:rsidR="00B22A71">
        <w:t xml:space="preserve">The paper also informs </w:t>
      </w:r>
      <w:r w:rsidR="005146EB">
        <w:t>our initiatives to continue to improve our claims management.</w:t>
      </w:r>
    </w:p>
    <w:p w14:paraId="50A5785E" w14:textId="288E3135" w:rsidR="00813C3D" w:rsidRPr="00DF503E" w:rsidRDefault="00813C3D" w:rsidP="00DF503E">
      <w:r w:rsidRPr="00DF503E">
        <w:t>W</w:t>
      </w:r>
      <w:r w:rsidR="004D2A0D">
        <w:t>orkCover</w:t>
      </w:r>
      <w:r w:rsidRPr="00DF503E">
        <w:t xml:space="preserve"> ha</w:t>
      </w:r>
      <w:r w:rsidR="004D2A0D">
        <w:t>s</w:t>
      </w:r>
      <w:r w:rsidRPr="00DF503E">
        <w:t xml:space="preserve"> continued to deliver education sessions to our industry stakeholders including an Injury Risk Reduction Initiatives session to a roundtable facilitated by the Small Business Commissioner, a Lunch and Learn session with the Apprentice Employment Network (QLD/NT) and a presentation on mental injury claims at the Aged &amp; Community Care Providers Queensland Conference.  </w:t>
      </w:r>
    </w:p>
    <w:p w14:paraId="7DC55BFD" w14:textId="0576BF51" w:rsidR="005A4096" w:rsidRDefault="00990289" w:rsidP="00DF503E">
      <w:r>
        <w:t xml:space="preserve">The </w:t>
      </w:r>
      <w:r w:rsidR="00813C3D" w:rsidRPr="00DF503E">
        <w:t xml:space="preserve">Injury Risk Reduction Initiatives program </w:t>
      </w:r>
      <w:r w:rsidR="00F33D49">
        <w:t xml:space="preserve">successfully delivered </w:t>
      </w:r>
      <w:r w:rsidR="00813C3D" w:rsidRPr="00DF503E">
        <w:t>several pilots in 2023. W</w:t>
      </w:r>
      <w:r w:rsidR="00D9201C">
        <w:t>orkCover is</w:t>
      </w:r>
      <w:r w:rsidR="00813C3D" w:rsidRPr="00DF503E">
        <w:t xml:space="preserve"> now in the final stages of two new pilots focusing on hazardous manual tasks and musculoskeletal disorders in partnership with the electrical industry and using job task analysis and work capabilities checklists to promote recovery and early return to work in the health and community care sector.</w:t>
      </w:r>
    </w:p>
    <w:p w14:paraId="084ECDB4" w14:textId="77777777" w:rsidR="00290147" w:rsidRDefault="005A4096">
      <w:pPr>
        <w:spacing w:before="0" w:after="160"/>
      </w:pPr>
      <w:r>
        <w:t xml:space="preserve">We worked with key legal stakeholders to improve </w:t>
      </w:r>
      <w:r w:rsidR="00873111">
        <w:t xml:space="preserve">our processes, resulting in </w:t>
      </w:r>
      <w:r w:rsidR="002529C8">
        <w:t>faster access to damages payments after settlement/judgement.</w:t>
      </w:r>
      <w:r w:rsidR="00813C3D" w:rsidRPr="00DF503E">
        <w:t> </w:t>
      </w:r>
    </w:p>
    <w:p w14:paraId="030A7E2A" w14:textId="77777777" w:rsidR="004D24ED" w:rsidRDefault="004D24ED">
      <w:pPr>
        <w:spacing w:before="0" w:after="160"/>
      </w:pPr>
    </w:p>
    <w:p w14:paraId="07C89B7C" w14:textId="77777777" w:rsidR="004D24ED" w:rsidRDefault="004D24ED">
      <w:pPr>
        <w:spacing w:before="0" w:after="160"/>
      </w:pPr>
    </w:p>
    <w:p w14:paraId="265D5833" w14:textId="77777777" w:rsidR="004D24ED" w:rsidRDefault="004D24ED">
      <w:pPr>
        <w:spacing w:before="0" w:after="160"/>
      </w:pPr>
    </w:p>
    <w:p w14:paraId="35FF6FE3" w14:textId="77777777" w:rsidR="004D24ED" w:rsidRDefault="004D24ED">
      <w:pPr>
        <w:spacing w:before="0" w:after="160"/>
      </w:pPr>
    </w:p>
    <w:p w14:paraId="358AE953" w14:textId="77777777" w:rsidR="004D24ED" w:rsidRDefault="004D24ED">
      <w:pPr>
        <w:spacing w:before="0" w:after="160"/>
      </w:pPr>
    </w:p>
    <w:p w14:paraId="6BD70196" w14:textId="77777777" w:rsidR="004D24ED" w:rsidRDefault="004D24ED">
      <w:pPr>
        <w:spacing w:before="0" w:after="160"/>
      </w:pPr>
    </w:p>
    <w:p w14:paraId="07E386A6" w14:textId="77777777" w:rsidR="004D24ED" w:rsidRDefault="004D24ED">
      <w:pPr>
        <w:spacing w:before="0" w:after="160"/>
      </w:pPr>
    </w:p>
    <w:p w14:paraId="575DB7AF" w14:textId="77777777" w:rsidR="004D24ED" w:rsidRDefault="004D24ED">
      <w:pPr>
        <w:spacing w:before="0" w:after="160"/>
      </w:pPr>
    </w:p>
    <w:p w14:paraId="1E73F707" w14:textId="77777777" w:rsidR="004D24ED" w:rsidRDefault="004D24ED">
      <w:pPr>
        <w:spacing w:before="0" w:after="160"/>
      </w:pPr>
    </w:p>
    <w:p w14:paraId="610A0331" w14:textId="77777777" w:rsidR="004D24ED" w:rsidRDefault="004D24ED">
      <w:pPr>
        <w:spacing w:before="0" w:after="160"/>
      </w:pPr>
    </w:p>
    <w:p w14:paraId="2B03E3B3" w14:textId="77777777" w:rsidR="004D24ED" w:rsidRDefault="004D24ED">
      <w:pPr>
        <w:spacing w:before="0" w:after="160"/>
      </w:pPr>
    </w:p>
    <w:p w14:paraId="6A93302B" w14:textId="77777777" w:rsidR="004D24ED" w:rsidRDefault="004D24ED">
      <w:pPr>
        <w:spacing w:before="0" w:after="160"/>
      </w:pPr>
    </w:p>
    <w:p w14:paraId="5A01BF7C" w14:textId="77777777" w:rsidR="004D24ED" w:rsidRDefault="004D24ED">
      <w:pPr>
        <w:spacing w:before="0" w:after="160"/>
      </w:pPr>
    </w:p>
    <w:p w14:paraId="46889774" w14:textId="77777777" w:rsidR="004D24ED" w:rsidRDefault="004D24ED">
      <w:pPr>
        <w:spacing w:before="0" w:after="160"/>
      </w:pPr>
    </w:p>
    <w:p w14:paraId="54E57EEB" w14:textId="77777777" w:rsidR="004D24ED" w:rsidRDefault="004D24ED">
      <w:pPr>
        <w:spacing w:before="0" w:after="160"/>
      </w:pPr>
    </w:p>
    <w:p w14:paraId="3874B7F2" w14:textId="77777777" w:rsidR="004D24ED" w:rsidRDefault="004D24ED">
      <w:pPr>
        <w:spacing w:before="0" w:after="160"/>
        <w:sectPr w:rsidR="004D24ED" w:rsidSect="007156B4">
          <w:type w:val="continuous"/>
          <w:pgSz w:w="11906" w:h="16838"/>
          <w:pgMar w:top="1440" w:right="1440" w:bottom="1440" w:left="1440" w:header="708" w:footer="708" w:gutter="0"/>
          <w:cols w:num="2" w:space="708"/>
          <w:docGrid w:linePitch="360"/>
        </w:sectPr>
      </w:pPr>
    </w:p>
    <w:p w14:paraId="68BB74C2" w14:textId="293B33C1" w:rsidR="002E4A02" w:rsidRPr="00DD1045" w:rsidRDefault="008467AD" w:rsidP="003611B0">
      <w:pPr>
        <w:pStyle w:val="ARMainTitle"/>
        <w:pBdr>
          <w:bottom w:val="single" w:sz="4" w:space="1" w:color="auto"/>
        </w:pBdr>
      </w:pPr>
      <w:bookmarkStart w:id="100" w:name="_Toc172009720"/>
      <w:r w:rsidRPr="00DD1045">
        <w:lastRenderedPageBreak/>
        <w:t>Our people</w:t>
      </w:r>
      <w:bookmarkEnd w:id="100"/>
    </w:p>
    <w:p w14:paraId="4C149D1A" w14:textId="1FF1DD25" w:rsidR="004F2422" w:rsidRDefault="004F2422" w:rsidP="004F2422">
      <w:pPr>
        <w:pStyle w:val="ARHeading1"/>
      </w:pPr>
      <w:bookmarkStart w:id="101" w:name="_Toc172009721"/>
      <w:r w:rsidRPr="00DD1045">
        <w:t>Workforce planning and performance</w:t>
      </w:r>
      <w:bookmarkEnd w:id="10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8E4826" w:rsidRPr="000002A7" w14:paraId="742AC32F" w14:textId="77777777">
        <w:tc>
          <w:tcPr>
            <w:tcW w:w="3005" w:type="dxa"/>
            <w:tcBorders>
              <w:right w:val="single" w:sz="8" w:space="0" w:color="AEAAAA" w:themeColor="background2" w:themeShade="BF"/>
            </w:tcBorders>
          </w:tcPr>
          <w:p w14:paraId="3D92A4AB" w14:textId="1E332617" w:rsidR="008E4826" w:rsidRPr="004A7781" w:rsidRDefault="00C15042">
            <w:pPr>
              <w:pStyle w:val="ARSub-heading2"/>
              <w:jc w:val="center"/>
            </w:pPr>
            <w:bookmarkStart w:id="102" w:name="_Toc172009722"/>
            <w:r w:rsidRPr="004A7781">
              <w:t>1095</w:t>
            </w:r>
            <w:bookmarkEnd w:id="102"/>
          </w:p>
          <w:p w14:paraId="120DCD80" w14:textId="77777777" w:rsidR="008E4826" w:rsidRPr="004A7781" w:rsidRDefault="008E4826" w:rsidP="008E4826">
            <w:pPr>
              <w:jc w:val="center"/>
            </w:pPr>
            <w:r w:rsidRPr="004A7781">
              <w:t>Full-time equivalent employees</w:t>
            </w:r>
          </w:p>
          <w:p w14:paraId="362A3350" w14:textId="60B8AAA4" w:rsidR="008E4826" w:rsidRPr="004A7781" w:rsidRDefault="005C2AC9" w:rsidP="005C2AC9">
            <w:pPr>
              <w:jc w:val="center"/>
              <w:rPr>
                <w:i/>
                <w:iCs/>
              </w:rPr>
            </w:pPr>
            <w:r w:rsidRPr="004A7781">
              <w:rPr>
                <w:i/>
                <w:iCs/>
                <w:sz w:val="16"/>
                <w:szCs w:val="16"/>
              </w:rPr>
              <w:t>*as at 30 June 2024, excluding Directors, Contractors and Temporary Agency Staff</w:t>
            </w:r>
          </w:p>
        </w:tc>
        <w:tc>
          <w:tcPr>
            <w:tcW w:w="3005" w:type="dxa"/>
            <w:tcBorders>
              <w:left w:val="single" w:sz="8" w:space="0" w:color="AEAAAA" w:themeColor="background2" w:themeShade="BF"/>
              <w:right w:val="single" w:sz="8" w:space="0" w:color="AEAAAA" w:themeColor="background2" w:themeShade="BF"/>
            </w:tcBorders>
          </w:tcPr>
          <w:p w14:paraId="54535CE8" w14:textId="120F07E3" w:rsidR="008E4826" w:rsidRPr="004A7781" w:rsidRDefault="00C15042">
            <w:pPr>
              <w:pStyle w:val="ARSub-heading2"/>
              <w:jc w:val="center"/>
            </w:pPr>
            <w:bookmarkStart w:id="103" w:name="_Toc172009723"/>
            <w:r w:rsidRPr="004A7781">
              <w:t>68</w:t>
            </w:r>
            <w:r w:rsidR="005C2AC9" w:rsidRPr="004A7781">
              <w:t>%</w:t>
            </w:r>
            <w:bookmarkEnd w:id="103"/>
          </w:p>
          <w:p w14:paraId="0BFF48B3" w14:textId="46110FCB" w:rsidR="005C2AC9" w:rsidRPr="004A7781" w:rsidRDefault="005C2AC9" w:rsidP="005C2AC9">
            <w:pPr>
              <w:jc w:val="center"/>
            </w:pPr>
            <w:r w:rsidRPr="004A7781">
              <w:t>of our workforce is female</w:t>
            </w:r>
          </w:p>
        </w:tc>
        <w:tc>
          <w:tcPr>
            <w:tcW w:w="3006" w:type="dxa"/>
            <w:tcBorders>
              <w:left w:val="single" w:sz="8" w:space="0" w:color="AEAAAA" w:themeColor="background2" w:themeShade="BF"/>
            </w:tcBorders>
          </w:tcPr>
          <w:p w14:paraId="6BE8CEBA" w14:textId="4F3C0EB3" w:rsidR="008E4826" w:rsidRPr="004A7781" w:rsidRDefault="00AE3140">
            <w:pPr>
              <w:pStyle w:val="ARSub-heading2"/>
              <w:jc w:val="center"/>
            </w:pPr>
            <w:bookmarkStart w:id="104" w:name="_Toc172009724"/>
            <w:r w:rsidRPr="004A7781">
              <w:t>13.1</w:t>
            </w:r>
            <w:r w:rsidR="005C2AC9" w:rsidRPr="004A7781">
              <w:t>%</w:t>
            </w:r>
            <w:bookmarkEnd w:id="104"/>
          </w:p>
          <w:p w14:paraId="5B94BD30" w14:textId="7F36EA4D" w:rsidR="005C2AC9" w:rsidRPr="004A7781" w:rsidRDefault="005C2AC9" w:rsidP="005C2AC9">
            <w:pPr>
              <w:jc w:val="center"/>
            </w:pPr>
            <w:r w:rsidRPr="004A7781">
              <w:t>employee 12-month rolling turnover rate</w:t>
            </w:r>
          </w:p>
        </w:tc>
      </w:tr>
    </w:tbl>
    <w:p w14:paraId="3998BDA2" w14:textId="2F0BB935" w:rsidR="00A97352" w:rsidRPr="00DD1045" w:rsidRDefault="00A97352" w:rsidP="00CE2FF2"/>
    <w:p w14:paraId="56BBC021" w14:textId="77777777" w:rsidR="008601DD" w:rsidRDefault="008601DD" w:rsidP="00CF47F8">
      <w:pPr>
        <w:rPr>
          <w:rStyle w:val="normaltextrun"/>
          <w:rFonts w:cs="Segoe UI"/>
        </w:rPr>
        <w:sectPr w:rsidR="008601DD" w:rsidSect="008601DD">
          <w:type w:val="continuous"/>
          <w:pgSz w:w="11906" w:h="16838"/>
          <w:pgMar w:top="1440" w:right="1440" w:bottom="1440" w:left="1440" w:header="708" w:footer="708" w:gutter="0"/>
          <w:cols w:space="708"/>
          <w:docGrid w:linePitch="360"/>
        </w:sectPr>
      </w:pPr>
    </w:p>
    <w:p w14:paraId="7EE20190" w14:textId="77777777" w:rsidR="00CF47F8" w:rsidRDefault="00021BEE" w:rsidP="00CF47F8">
      <w:pPr>
        <w:rPr>
          <w:rStyle w:val="eop"/>
          <w:rFonts w:cs="Segoe UI"/>
        </w:rPr>
      </w:pPr>
      <w:r>
        <w:rPr>
          <w:rStyle w:val="normaltextrun"/>
          <w:rFonts w:cs="Segoe UI"/>
        </w:rPr>
        <w:t>Our focus on attracting, developing, and retaining an engaged, skilled and diverse workforce is key to ensuring we can continue to support our customers and achieve our strategies now and into the future. </w:t>
      </w:r>
      <w:r>
        <w:rPr>
          <w:rStyle w:val="eop"/>
          <w:rFonts w:cs="Segoe UI"/>
        </w:rPr>
        <w:t> </w:t>
      </w:r>
    </w:p>
    <w:p w14:paraId="29291C25" w14:textId="036CC584" w:rsidR="00CE2FF2" w:rsidRPr="00530D2D" w:rsidRDefault="00021BEE" w:rsidP="00CF47F8">
      <w:r>
        <w:rPr>
          <w:rStyle w:val="normaltextrun"/>
          <w:rFonts w:cs="Segoe UI"/>
        </w:rPr>
        <w:t xml:space="preserve">The ongoing commitment to the learning and development of our people remained an area of focus in </w:t>
      </w:r>
      <w:r w:rsidR="00CE2FF2" w:rsidRPr="00530D2D">
        <w:t>2023</w:t>
      </w:r>
      <w:r w:rsidR="00490D1B" w:rsidRPr="00530D2D">
        <w:t>–</w:t>
      </w:r>
      <w:r w:rsidR="00CE2FF2" w:rsidRPr="00530D2D">
        <w:t xml:space="preserve">2024. </w:t>
      </w:r>
      <w:r w:rsidR="00D31F67" w:rsidRPr="00530D2D">
        <w:t>WorkCover has:</w:t>
      </w:r>
    </w:p>
    <w:p w14:paraId="355946A6" w14:textId="3AA5F97B" w:rsidR="00CE2FF2" w:rsidRPr="00DD1045" w:rsidRDefault="00032A94" w:rsidP="00C73276">
      <w:pPr>
        <w:pStyle w:val="ARDotpoints"/>
        <w:numPr>
          <w:ilvl w:val="0"/>
          <w:numId w:val="8"/>
        </w:numPr>
        <w:ind w:left="584" w:hanging="357"/>
      </w:pPr>
      <w:r>
        <w:t>i</w:t>
      </w:r>
      <w:r w:rsidR="00CE2FF2">
        <w:t>mplement</w:t>
      </w:r>
      <w:r>
        <w:t>ed</w:t>
      </w:r>
      <w:r w:rsidR="00CE2FF2">
        <w:t xml:space="preserve"> the commitments within the </w:t>
      </w:r>
      <w:r w:rsidR="00CE2FF2" w:rsidRPr="009842D8">
        <w:rPr>
          <w:i/>
          <w:iCs/>
        </w:rPr>
        <w:t>WorkCover Employing Office</w:t>
      </w:r>
      <w:r w:rsidRPr="009842D8">
        <w:rPr>
          <w:i/>
          <w:iCs/>
        </w:rPr>
        <w:t xml:space="preserve"> </w:t>
      </w:r>
      <w:r w:rsidR="00CE2FF2" w:rsidRPr="009842D8">
        <w:rPr>
          <w:i/>
          <w:iCs/>
        </w:rPr>
        <w:t>- Certified Agreement 2022</w:t>
      </w:r>
      <w:r w:rsidR="00CE2FF2">
        <w:t xml:space="preserve"> </w:t>
      </w:r>
    </w:p>
    <w:p w14:paraId="3CF80EAB" w14:textId="4C6E6339" w:rsidR="00CE2FF2" w:rsidRDefault="00032A94" w:rsidP="00C73276">
      <w:pPr>
        <w:pStyle w:val="ARDotpoints"/>
        <w:numPr>
          <w:ilvl w:val="0"/>
          <w:numId w:val="8"/>
        </w:numPr>
        <w:ind w:left="584" w:hanging="357"/>
      </w:pPr>
      <w:r>
        <w:t>c</w:t>
      </w:r>
      <w:r w:rsidR="00CE2FF2">
        <w:t xml:space="preserve">ontinued </w:t>
      </w:r>
      <w:r>
        <w:t xml:space="preserve">our </w:t>
      </w:r>
      <w:r w:rsidR="00CE2FF2">
        <w:t xml:space="preserve">focus on the safety and wellbeing of our people with the launch of our Psychosocial Code of Practice framework and </w:t>
      </w:r>
      <w:r w:rsidR="00CE2FF2" w:rsidRPr="006A6A8A">
        <w:t>a zero-tolerance approach to customer aggression</w:t>
      </w:r>
      <w:r w:rsidR="00AD09A2">
        <w:t>,</w:t>
      </w:r>
      <w:r w:rsidR="00AD09A2" w:rsidRPr="00AD09A2">
        <w:t xml:space="preserve"> </w:t>
      </w:r>
      <w:r w:rsidR="00AD09A2">
        <w:t>ensuring WorkCover is a model employer</w:t>
      </w:r>
      <w:r w:rsidR="00CE2FF2" w:rsidRPr="00213169">
        <w:t xml:space="preserve"> </w:t>
      </w:r>
    </w:p>
    <w:p w14:paraId="13579116" w14:textId="7D9A4824" w:rsidR="00CE2FF2" w:rsidRDefault="00CE2FF2" w:rsidP="00C73276">
      <w:pPr>
        <w:pStyle w:val="ARDotpoints"/>
        <w:numPr>
          <w:ilvl w:val="0"/>
          <w:numId w:val="8"/>
        </w:numPr>
        <w:ind w:left="584" w:hanging="357"/>
      </w:pPr>
      <w:r>
        <w:t>strengthen</w:t>
      </w:r>
      <w:r w:rsidR="00032A94">
        <w:t>ed</w:t>
      </w:r>
      <w:r>
        <w:t xml:space="preserve"> our commitments to inclusion and reconciliation by launching our </w:t>
      </w:r>
      <w:r w:rsidR="00865607">
        <w:t xml:space="preserve">revised </w:t>
      </w:r>
      <w:r>
        <w:t>Diversity, Inclusion and Belonging Strategy, and our</w:t>
      </w:r>
      <w:r w:rsidR="00865607">
        <w:t xml:space="preserve"> updated</w:t>
      </w:r>
      <w:r>
        <w:t xml:space="preserve"> First Nations Strategy</w:t>
      </w:r>
    </w:p>
    <w:p w14:paraId="2165C01A" w14:textId="0BFD4106" w:rsidR="00CE2FF2" w:rsidRPr="00DD1045" w:rsidRDefault="00CE2FF2" w:rsidP="00C73276">
      <w:pPr>
        <w:pStyle w:val="ARDotpoints"/>
        <w:numPr>
          <w:ilvl w:val="0"/>
          <w:numId w:val="8"/>
        </w:numPr>
        <w:ind w:left="584" w:hanging="357"/>
      </w:pPr>
      <w:r>
        <w:t>driv</w:t>
      </w:r>
      <w:r w:rsidR="00032A94">
        <w:t>en</w:t>
      </w:r>
      <w:r>
        <w:t xml:space="preserve"> a culture of accountability</w:t>
      </w:r>
      <w:r w:rsidR="00865607">
        <w:t xml:space="preserve"> and excellence</w:t>
      </w:r>
      <w:r>
        <w:t>.</w:t>
      </w:r>
    </w:p>
    <w:p w14:paraId="57876762" w14:textId="77777777" w:rsidR="00CE2FF2" w:rsidRPr="00DD1045" w:rsidRDefault="00CE2FF2" w:rsidP="00CE2FF2">
      <w:pPr>
        <w:pStyle w:val="ARSub-heading1"/>
      </w:pPr>
      <w:bookmarkStart w:id="105" w:name="_Toc172009725"/>
      <w:r w:rsidRPr="00DD1045">
        <w:t>A diverse workforce</w:t>
      </w:r>
      <w:bookmarkEnd w:id="105"/>
    </w:p>
    <w:p w14:paraId="2056CF59" w14:textId="2ECB9829" w:rsidR="00CE2FF2" w:rsidRDefault="00CE2FF2" w:rsidP="00CE2FF2">
      <w:r>
        <w:t>W</w:t>
      </w:r>
      <w:r w:rsidR="00DC080C">
        <w:t>orkCover</w:t>
      </w:r>
      <w:r w:rsidRPr="00DD1045">
        <w:t xml:space="preserve"> </w:t>
      </w:r>
      <w:r>
        <w:t>launched</w:t>
      </w:r>
      <w:r w:rsidRPr="00DD1045">
        <w:t xml:space="preserve"> our Amplify </w:t>
      </w:r>
      <w:r w:rsidR="00554F01">
        <w:t>e</w:t>
      </w:r>
      <w:r w:rsidRPr="00DD1045">
        <w:t xml:space="preserve">mployee resource </w:t>
      </w:r>
      <w:r>
        <w:t>group, which is WorkCover's Diversity, Inclusion and Belonging (</w:t>
      </w:r>
      <w:r w:rsidRPr="00FD5F55">
        <w:t>DIB</w:t>
      </w:r>
      <w:r>
        <w:t xml:space="preserve">) employee representative </w:t>
      </w:r>
      <w:r w:rsidRPr="00C54D9E">
        <w:t>group</w:t>
      </w:r>
      <w:r w:rsidR="000D6DEF" w:rsidRPr="00C54D9E">
        <w:t xml:space="preserve">. </w:t>
      </w:r>
      <w:r w:rsidR="00C54D9E" w:rsidRPr="00C54D9E">
        <w:t>They</w:t>
      </w:r>
      <w:r>
        <w:t xml:space="preserve"> inform and champion DIB within WorkCover. Our </w:t>
      </w:r>
      <w:r w:rsidR="00554F01">
        <w:t xml:space="preserve">vision </w:t>
      </w:r>
      <w:r>
        <w:t xml:space="preserve">is to build a workplace where inclusion drives every decision, every discussion, every day. </w:t>
      </w:r>
      <w:r w:rsidR="00856224">
        <w:t>We have:</w:t>
      </w:r>
    </w:p>
    <w:p w14:paraId="000B5721" w14:textId="100DF443" w:rsidR="005B6E4B" w:rsidRDefault="005B6E4B" w:rsidP="001867E4">
      <w:pPr>
        <w:pStyle w:val="ARDotpoints"/>
        <w:ind w:left="584"/>
      </w:pPr>
      <w:r>
        <w:t>strengthen</w:t>
      </w:r>
      <w:r w:rsidR="00856224">
        <w:t>ed</w:t>
      </w:r>
      <w:r>
        <w:t xml:space="preserve"> our commitments to inclusion by launching our revised Diversity, Inclusion and Belonging Strategy </w:t>
      </w:r>
      <w:r>
        <w:t>and associated Equal Opportunity and Inclusion policy</w:t>
      </w:r>
    </w:p>
    <w:p w14:paraId="1864C8E6" w14:textId="5468ACB0" w:rsidR="005B6E4B" w:rsidRPr="00DD1045" w:rsidRDefault="00856224" w:rsidP="001867E4">
      <w:pPr>
        <w:pStyle w:val="ARDotpoints"/>
        <w:ind w:left="584"/>
      </w:pPr>
      <w:r>
        <w:t>p</w:t>
      </w:r>
      <w:r w:rsidR="005B6E4B">
        <w:t>articipat</w:t>
      </w:r>
      <w:r>
        <w:t>ed</w:t>
      </w:r>
      <w:r w:rsidR="005B6E4B">
        <w:t xml:space="preserve"> in the P</w:t>
      </w:r>
      <w:r w:rsidR="001005E9">
        <w:t xml:space="preserve">ublic </w:t>
      </w:r>
      <w:r w:rsidR="005B6E4B">
        <w:t>S</w:t>
      </w:r>
      <w:r w:rsidR="001005E9">
        <w:t xml:space="preserve">ector </w:t>
      </w:r>
      <w:r w:rsidR="005B6E4B">
        <w:t>C</w:t>
      </w:r>
      <w:r w:rsidR="001005E9">
        <w:t>ommission</w:t>
      </w:r>
      <w:r w:rsidR="005B6E4B">
        <w:t xml:space="preserve"> Equity and Diversity Audit and Reporting program and development of an</w:t>
      </w:r>
      <w:r w:rsidR="005B6E4B" w:rsidRPr="00EB7C92">
        <w:rPr>
          <w:i/>
          <w:iCs/>
        </w:rPr>
        <w:t xml:space="preserve"> </w:t>
      </w:r>
      <w:hyperlink r:id="rId34" w:history="1">
        <w:r w:rsidR="005B6E4B" w:rsidRPr="00EB7C92">
          <w:rPr>
            <w:rStyle w:val="Hyperlink"/>
            <w:i/>
            <w:iCs/>
            <w:color w:val="auto"/>
          </w:rPr>
          <w:t>Action Plan</w:t>
        </w:r>
      </w:hyperlink>
      <w:r w:rsidR="005B6E4B">
        <w:t xml:space="preserve"> </w:t>
      </w:r>
      <w:r w:rsidR="00C932B1">
        <w:t>(</w:t>
      </w:r>
      <w:r w:rsidR="00C932B1" w:rsidRPr="00C932B1">
        <w:rPr>
          <w:u w:val="single"/>
        </w:rPr>
        <w:t>https://www.worksafe.qld.gov.au/about/who-we-are/workcover-queensland/diversity,-inclusion-and-belonging</w:t>
      </w:r>
      <w:r w:rsidR="00C932B1">
        <w:t xml:space="preserve">) </w:t>
      </w:r>
      <w:r w:rsidR="005B6E4B">
        <w:t>to address identified inequities</w:t>
      </w:r>
      <w:r w:rsidR="000F0D6A">
        <w:t>.</w:t>
      </w:r>
      <w:r w:rsidR="005B6E4B">
        <w:t xml:space="preserve"> </w:t>
      </w:r>
    </w:p>
    <w:p w14:paraId="3D5D4516" w14:textId="77777777" w:rsidR="00CE2FF2" w:rsidRPr="00DD1045" w:rsidRDefault="00CE2FF2" w:rsidP="00CE2FF2">
      <w:pPr>
        <w:pStyle w:val="ARSub-heading1"/>
      </w:pPr>
      <w:bookmarkStart w:id="106" w:name="_Toc172009726"/>
      <w:r w:rsidRPr="00DD1045">
        <w:t>Gender equity</w:t>
      </w:r>
      <w:bookmarkEnd w:id="106"/>
    </w:p>
    <w:p w14:paraId="3E304495" w14:textId="0ADABAED" w:rsidR="00CE2FF2" w:rsidRDefault="00CE2FF2" w:rsidP="00CE2FF2">
      <w:r w:rsidRPr="002518A9">
        <w:t xml:space="preserve">Our gender pay gap as at 30 June </w:t>
      </w:r>
      <w:r w:rsidRPr="004A7781">
        <w:t xml:space="preserve">2024 is </w:t>
      </w:r>
      <w:r w:rsidR="004503C8" w:rsidRPr="004A7781">
        <w:t>8.38</w:t>
      </w:r>
      <w:r w:rsidRPr="004A7781">
        <w:t xml:space="preserve">% and WorkCover continued to conduct targeted gender pay parity reviews as part of our annual Renumeration Strategy. We continue to drive representation of women in leadership with a </w:t>
      </w:r>
      <w:r w:rsidR="004503C8" w:rsidRPr="004A7781">
        <w:t>63</w:t>
      </w:r>
      <w:r w:rsidRPr="004A7781">
        <w:t xml:space="preserve">% female representation at an executive level, and a </w:t>
      </w:r>
      <w:r w:rsidR="004503C8" w:rsidRPr="004A7781">
        <w:t>62</w:t>
      </w:r>
      <w:r w:rsidRPr="004A7781">
        <w:t>% female representation at a senior</w:t>
      </w:r>
      <w:r w:rsidRPr="00261E34">
        <w:t xml:space="preserve"> leader level.</w:t>
      </w:r>
    </w:p>
    <w:p w14:paraId="5CC3D35B" w14:textId="77777777" w:rsidR="00CE2FF2" w:rsidRPr="00DD1045" w:rsidRDefault="00CE2FF2" w:rsidP="00CE2FF2">
      <w:pPr>
        <w:pStyle w:val="ARSub-heading1"/>
      </w:pPr>
      <w:bookmarkStart w:id="107" w:name="_Toc172009727"/>
      <w:r w:rsidRPr="00DD1045">
        <w:t>First Nations</w:t>
      </w:r>
      <w:bookmarkEnd w:id="107"/>
    </w:p>
    <w:p w14:paraId="5F9031FC" w14:textId="150EDCEC" w:rsidR="00CE2FF2" w:rsidRDefault="00CE2FF2" w:rsidP="00CE2FF2">
      <w:r>
        <w:t>Fostering a culturally safe space for all, WorkCover has continued to deliver on our Reconciliation Action Plan, as well as taking the next step in our reconciliation journey by developing our First Nations Strategy. The strategy spans cultural safety and capability, community engagement, customer advocacy</w:t>
      </w:r>
      <w:r w:rsidR="00351529">
        <w:t>,</w:t>
      </w:r>
      <w:r>
        <w:t xml:space="preserve"> and procurement. </w:t>
      </w:r>
      <w:r w:rsidRPr="007A4811">
        <w:t xml:space="preserve">We again acknowledged important events such as National Reconciliation Week and celebrated First </w:t>
      </w:r>
      <w:r w:rsidRPr="003E11EE">
        <w:t>Nations</w:t>
      </w:r>
      <w:r w:rsidR="003E11EE" w:rsidRPr="003E11EE">
        <w:t>’</w:t>
      </w:r>
      <w:r w:rsidRPr="007A4811">
        <w:t xml:space="preserve"> cultures during NAIDOC Week. </w:t>
      </w:r>
      <w:r>
        <w:t>We are looking forward to continuing to expand work in this important space in 2024</w:t>
      </w:r>
      <w:r w:rsidR="00C5796F">
        <w:t>–</w:t>
      </w:r>
      <w:r>
        <w:t xml:space="preserve">2025. </w:t>
      </w:r>
    </w:p>
    <w:p w14:paraId="5AB23CE6" w14:textId="77777777" w:rsidR="001867E4" w:rsidRDefault="001867E4" w:rsidP="00CE2FF2"/>
    <w:p w14:paraId="39DA67EA" w14:textId="77777777" w:rsidR="00CE2FF2" w:rsidRPr="00DD1045" w:rsidRDefault="00CE2FF2" w:rsidP="00CE2FF2"/>
    <w:p w14:paraId="0AD14DE8" w14:textId="77777777" w:rsidR="00CE2FF2" w:rsidRPr="00DD1045" w:rsidRDefault="00CE2FF2" w:rsidP="00CE2FF2">
      <w:pPr>
        <w:pStyle w:val="ARHeading1"/>
      </w:pPr>
      <w:bookmarkStart w:id="108" w:name="_Toc172009728"/>
      <w:r w:rsidRPr="00DD1045">
        <w:lastRenderedPageBreak/>
        <w:t>Growing the capability of our people</w:t>
      </w:r>
      <w:bookmarkEnd w:id="108"/>
    </w:p>
    <w:p w14:paraId="76678E4A" w14:textId="08B25ED6" w:rsidR="00E2177D" w:rsidRPr="00984632" w:rsidRDefault="00E2177D" w:rsidP="00CE2FF2">
      <w:pPr>
        <w:rPr>
          <w:rStyle w:val="normaltextrun"/>
          <w:color w:val="000000"/>
          <w:shd w:val="clear" w:color="auto" w:fill="FFFFFF"/>
        </w:rPr>
      </w:pPr>
      <w:r>
        <w:rPr>
          <w:rStyle w:val="normaltextrun"/>
          <w:color w:val="000000"/>
          <w:shd w:val="clear" w:color="auto" w:fill="FFFFFF"/>
        </w:rPr>
        <w:t>This year</w:t>
      </w:r>
      <w:r w:rsidR="00DC080C">
        <w:rPr>
          <w:rStyle w:val="normaltextrun"/>
          <w:color w:val="000000"/>
          <w:shd w:val="clear" w:color="auto" w:fill="FFFFFF"/>
        </w:rPr>
        <w:t>,</w:t>
      </w:r>
      <w:r>
        <w:rPr>
          <w:rStyle w:val="normaltextrun"/>
          <w:color w:val="000000"/>
          <w:shd w:val="clear" w:color="auto" w:fill="FFFFFF"/>
        </w:rPr>
        <w:t xml:space="preserve"> </w:t>
      </w:r>
      <w:r w:rsidR="00DC080C">
        <w:rPr>
          <w:rStyle w:val="normaltextrun"/>
          <w:color w:val="000000"/>
          <w:shd w:val="clear" w:color="auto" w:fill="FFFFFF"/>
        </w:rPr>
        <w:t>WorkCover</w:t>
      </w:r>
      <w:r>
        <w:rPr>
          <w:rStyle w:val="normaltextrun"/>
          <w:color w:val="000000"/>
          <w:shd w:val="clear" w:color="auto" w:fill="FFFFFF"/>
        </w:rPr>
        <w:t xml:space="preserve"> introduced our Professional Standards Framework to provide a core set of capabilities that </w:t>
      </w:r>
      <w:r w:rsidRPr="00984632">
        <w:rPr>
          <w:rStyle w:val="normaltextrun"/>
          <w:color w:val="000000"/>
          <w:shd w:val="clear" w:color="auto" w:fill="FFFFFF"/>
        </w:rPr>
        <w:t>enable</w:t>
      </w:r>
      <w:r>
        <w:rPr>
          <w:rStyle w:val="normaltextrun"/>
          <w:color w:val="000000"/>
          <w:shd w:val="clear" w:color="auto" w:fill="FFFFFF"/>
        </w:rPr>
        <w:t xml:space="preserve"> our people in managing claims in an evolving environment. Developed in collaboration with </w:t>
      </w:r>
      <w:r w:rsidR="001C0F9A">
        <w:rPr>
          <w:rStyle w:val="normaltextrun"/>
          <w:color w:val="000000"/>
          <w:shd w:val="clear" w:color="auto" w:fill="FFFFFF"/>
        </w:rPr>
        <w:t xml:space="preserve">the </w:t>
      </w:r>
      <w:r>
        <w:rPr>
          <w:rStyle w:val="normaltextrun"/>
          <w:color w:val="000000"/>
          <w:shd w:val="clear" w:color="auto" w:fill="FFFFFF"/>
        </w:rPr>
        <w:t>Personal Injury Education Foundation</w:t>
      </w:r>
      <w:r w:rsidR="00F93040">
        <w:rPr>
          <w:rStyle w:val="normaltextrun"/>
          <w:color w:val="000000"/>
          <w:shd w:val="clear" w:color="auto" w:fill="FFFFFF"/>
        </w:rPr>
        <w:t xml:space="preserve"> (PIEF)</w:t>
      </w:r>
      <w:r>
        <w:rPr>
          <w:rStyle w:val="normaltextrun"/>
          <w:color w:val="000000"/>
          <w:shd w:val="clear" w:color="auto" w:fill="FFFFFF"/>
        </w:rPr>
        <w:t>, and many of our own</w:t>
      </w:r>
      <w:r w:rsidRPr="00984632">
        <w:rPr>
          <w:rStyle w:val="normaltextrun"/>
          <w:color w:val="000000"/>
          <w:shd w:val="clear" w:color="auto" w:fill="FFFFFF"/>
        </w:rPr>
        <w:t xml:space="preserve"> e</w:t>
      </w:r>
      <w:r>
        <w:rPr>
          <w:rStyle w:val="normaltextrun"/>
          <w:color w:val="000000"/>
          <w:shd w:val="clear" w:color="auto" w:fill="FFFFFF"/>
        </w:rPr>
        <w:t>x</w:t>
      </w:r>
      <w:r w:rsidRPr="00984632">
        <w:rPr>
          <w:rStyle w:val="normaltextrun"/>
          <w:color w:val="000000"/>
          <w:shd w:val="clear" w:color="auto" w:fill="FFFFFF"/>
        </w:rPr>
        <w:t>pe</w:t>
      </w:r>
      <w:r>
        <w:rPr>
          <w:rStyle w:val="normaltextrun"/>
          <w:color w:val="000000"/>
          <w:shd w:val="clear" w:color="auto" w:fill="FFFFFF"/>
        </w:rPr>
        <w:t>rienced people, this framework consists o</w:t>
      </w:r>
      <w:r w:rsidRPr="00984632">
        <w:rPr>
          <w:rStyle w:val="normaltextrun"/>
          <w:color w:val="000000"/>
          <w:shd w:val="clear" w:color="auto" w:fill="FFFFFF"/>
        </w:rPr>
        <w:t>f</w:t>
      </w:r>
      <w:r>
        <w:rPr>
          <w:rStyle w:val="normaltextrun"/>
          <w:color w:val="000000"/>
          <w:shd w:val="clear" w:color="auto" w:fill="FFFFFF"/>
        </w:rPr>
        <w:t xml:space="preserve"> standards aimed at ensuring consistent service delivery and quality experiences for both workers and employers. We continue to invest in our people by providing a study assistance program that </w:t>
      </w:r>
      <w:r w:rsidR="00001F68">
        <w:rPr>
          <w:rStyle w:val="normaltextrun"/>
          <w:color w:val="000000"/>
          <w:shd w:val="clear" w:color="auto" w:fill="FFFFFF"/>
        </w:rPr>
        <w:t>supports them with</w:t>
      </w:r>
      <w:r>
        <w:rPr>
          <w:rStyle w:val="normaltextrun"/>
          <w:color w:val="000000"/>
          <w:shd w:val="clear" w:color="auto" w:fill="FFFFFF"/>
        </w:rPr>
        <w:t xml:space="preserve"> gain</w:t>
      </w:r>
      <w:r w:rsidR="00001F68">
        <w:rPr>
          <w:rStyle w:val="normaltextrun"/>
          <w:color w:val="000000"/>
          <w:shd w:val="clear" w:color="auto" w:fill="FFFFFF"/>
        </w:rPr>
        <w:t>ing</w:t>
      </w:r>
      <w:r>
        <w:rPr>
          <w:rStyle w:val="normaltextrun"/>
          <w:color w:val="000000"/>
          <w:shd w:val="clear" w:color="auto" w:fill="FFFFFF"/>
        </w:rPr>
        <w:t xml:space="preserve"> qualifications in areas relevant to their role and career. Our leadership development programs strengthen our internal capabilities and create a pipeline of leadership talent</w:t>
      </w:r>
      <w:r w:rsidRPr="00984632">
        <w:rPr>
          <w:rStyle w:val="normaltextrun"/>
          <w:color w:val="000000"/>
          <w:shd w:val="clear" w:color="auto" w:fill="FFFFFF"/>
        </w:rPr>
        <w:t xml:space="preserve"> to deliver impactful results</w:t>
      </w:r>
      <w:r>
        <w:rPr>
          <w:rStyle w:val="normaltextrun"/>
          <w:color w:val="000000"/>
          <w:shd w:val="clear" w:color="auto" w:fill="FFFFFF"/>
        </w:rPr>
        <w:t>.</w:t>
      </w:r>
      <w:r w:rsidRPr="00984632">
        <w:rPr>
          <w:rStyle w:val="normaltextrun"/>
        </w:rPr>
        <w:t> </w:t>
      </w:r>
    </w:p>
    <w:p w14:paraId="6EF9CAF3" w14:textId="77777777" w:rsidR="00953165" w:rsidRDefault="00953165" w:rsidP="00CE2FF2"/>
    <w:p w14:paraId="27973B59" w14:textId="77777777" w:rsidR="00CE2FF2" w:rsidRDefault="00CE2FF2" w:rsidP="00642B9A">
      <w:pPr>
        <w:pStyle w:val="ARHeading1"/>
      </w:pPr>
      <w:bookmarkStart w:id="109" w:name="_Toc172009729"/>
      <w:r w:rsidRPr="5EBAD6E4">
        <w:t>Health, Safety and Wellbeing at WorkCover</w:t>
      </w:r>
      <w:bookmarkEnd w:id="109"/>
    </w:p>
    <w:p w14:paraId="20E9C415" w14:textId="77777777" w:rsidR="00CF47F8" w:rsidRDefault="00CE2FF2" w:rsidP="00642B9A">
      <w:r w:rsidRPr="5EBAD6E4">
        <w:t xml:space="preserve">WorkCover is committed to ensuring the safety and wellbeing of employees by proactively encouraging participation towards positive safety culture. Our workplace practices focus on shared responsibility of all employees in championing workplace safety and wellbeing. WorkCover's safety and wellbeing strategy is </w:t>
      </w:r>
      <w:r w:rsidRPr="00EF0DED">
        <w:t xml:space="preserve">underpinned by </w:t>
      </w:r>
      <w:r w:rsidR="009500A9" w:rsidRPr="00EF0DED">
        <w:t>three</w:t>
      </w:r>
      <w:r w:rsidRPr="5EBAD6E4">
        <w:t xml:space="preserve"> key principles that keep our workplace safe: healthy people</w:t>
      </w:r>
      <w:r w:rsidR="00001F68">
        <w:t>,</w:t>
      </w:r>
      <w:r w:rsidRPr="5EBAD6E4">
        <w:t xml:space="preserve"> healthy systems</w:t>
      </w:r>
      <w:r w:rsidR="00001F68">
        <w:t>,</w:t>
      </w:r>
      <w:r w:rsidRPr="5EBAD6E4">
        <w:t xml:space="preserve"> and healthy workplaces. </w:t>
      </w:r>
    </w:p>
    <w:p w14:paraId="6FCC86BE" w14:textId="289CC2CC" w:rsidR="00CE2FF2" w:rsidRDefault="00CE2FF2" w:rsidP="00642B9A">
      <w:r w:rsidRPr="5EBAD6E4">
        <w:t xml:space="preserve">A biopsychosocial approach is applied to our annual wellbeing program that encourages a diverse range of initiatives that drive a thriving workforce. This year, we have updated our safety and wellbeing policies, procedures and mental health strategy in accordance with the </w:t>
      </w:r>
      <w:r w:rsidRPr="002161E7">
        <w:rPr>
          <w:i/>
          <w:iCs/>
        </w:rPr>
        <w:t>Managing the risk of psychosocial hazards at work Code of Practice 2022</w:t>
      </w:r>
      <w:r w:rsidRPr="5EBAD6E4">
        <w:t xml:space="preserve">.  </w:t>
      </w:r>
    </w:p>
    <w:p w14:paraId="5859B3C6" w14:textId="77777777" w:rsidR="003B3E47" w:rsidRDefault="003B3E47" w:rsidP="00642B9A"/>
    <w:p w14:paraId="71479107" w14:textId="77777777" w:rsidR="003B3E47" w:rsidRDefault="003B3E47" w:rsidP="00642B9A"/>
    <w:p w14:paraId="145A2252" w14:textId="77777777" w:rsidR="00CE2FF2" w:rsidRDefault="00CE2FF2" w:rsidP="00CE2FF2"/>
    <w:p w14:paraId="60E36640" w14:textId="77777777" w:rsidR="00CE2FF2" w:rsidRDefault="00CE2FF2" w:rsidP="00CE2FF2">
      <w:pPr>
        <w:pStyle w:val="ARHeading1"/>
      </w:pPr>
      <w:bookmarkStart w:id="110" w:name="_Toc172009730"/>
      <w:r>
        <w:t>Working at WorkCover</w:t>
      </w:r>
      <w:bookmarkEnd w:id="110"/>
      <w:r>
        <w:t xml:space="preserve"> </w:t>
      </w:r>
    </w:p>
    <w:p w14:paraId="0ED68383" w14:textId="43A42989" w:rsidR="00CE2FF2" w:rsidRPr="00953165" w:rsidRDefault="00CE2FF2" w:rsidP="00CE2FF2">
      <w:r w:rsidRPr="00953165">
        <w:t>We measure our employees’ engagement at work with our bi-annual People surveys and use these insights to assess our peoples’ alignment with our purpose and values, as well as improve how we can better support them in their roles. Following each survey, action plans are developed and monitored to support continuous improvement at WorkCover. Last year, customer aggression was identified as a key area of concern for our people and in 2023</w:t>
      </w:r>
      <w:r w:rsidR="00922B4E">
        <w:t>–</w:t>
      </w:r>
      <w:r w:rsidRPr="00953165">
        <w:t xml:space="preserve">2024 we delivered a comprehensive, zero-tolerance approach to customer aggression. </w:t>
      </w:r>
    </w:p>
    <w:p w14:paraId="567FFF65" w14:textId="3C590CE7" w:rsidR="00CE2FF2" w:rsidRDefault="00CE2FF2" w:rsidP="00CE2FF2">
      <w:pPr>
        <w:rPr>
          <w:rFonts w:eastAsia="Source Sans Pro" w:cs="Source Sans Pro"/>
        </w:rPr>
      </w:pPr>
      <w:r w:rsidRPr="5E075E6D">
        <w:rPr>
          <w:rFonts w:eastAsia="Source Sans Pro" w:cs="Source Sans Pro"/>
        </w:rPr>
        <w:t xml:space="preserve">This year our Future of Work Program ensured we continue to provide a contemporary workplace and working arrangements for our people. We support flexible work arrangements and a well-designed workplace to help our people balance work, family and lifestyle, and offer a work environment that responds to an evolving dynamic hybrid landscape and supports them </w:t>
      </w:r>
      <w:r w:rsidR="00031A7A">
        <w:rPr>
          <w:rFonts w:eastAsia="Source Sans Pro" w:cs="Source Sans Pro"/>
        </w:rPr>
        <w:t xml:space="preserve">to </w:t>
      </w:r>
      <w:r w:rsidRPr="5E075E6D">
        <w:rPr>
          <w:rFonts w:eastAsia="Source Sans Pro" w:cs="Source Sans Pro"/>
        </w:rPr>
        <w:t>deliver successfully within the scope of their roles.</w:t>
      </w:r>
    </w:p>
    <w:p w14:paraId="36B16487" w14:textId="77777777" w:rsidR="00953165" w:rsidRPr="00DD1045" w:rsidRDefault="00953165" w:rsidP="00CE2FF2"/>
    <w:p w14:paraId="0775B87C" w14:textId="77777777" w:rsidR="00CE2FF2" w:rsidRPr="00DD1045" w:rsidRDefault="00CE2FF2" w:rsidP="00CE2FF2">
      <w:pPr>
        <w:pStyle w:val="ARHeading1"/>
      </w:pPr>
      <w:bookmarkStart w:id="111" w:name="_Toc172009731"/>
      <w:r>
        <w:t>Early retirement, redundancy, and retrenchment</w:t>
      </w:r>
      <w:bookmarkEnd w:id="111"/>
      <w:r>
        <w:t xml:space="preserve"> </w:t>
      </w:r>
    </w:p>
    <w:p w14:paraId="4A332B03" w14:textId="1C6A4627" w:rsidR="00CE2FF2" w:rsidRPr="009F142E" w:rsidRDefault="00CE2FF2" w:rsidP="00CE2FF2">
      <w:pPr>
        <w:spacing w:before="0" w:after="0"/>
        <w:rPr>
          <w:rFonts w:eastAsia="Source Sans Pro" w:cs="Source Sans Pro"/>
        </w:rPr>
      </w:pPr>
      <w:r w:rsidRPr="02A17592">
        <w:rPr>
          <w:rFonts w:eastAsia="Source Sans Pro" w:cs="Source Sans Pro"/>
        </w:rPr>
        <w:t>In 2023</w:t>
      </w:r>
      <w:r w:rsidR="00922B4E">
        <w:t>–</w:t>
      </w:r>
      <w:r w:rsidRPr="02A17592">
        <w:rPr>
          <w:rFonts w:eastAsia="Source Sans Pro" w:cs="Source Sans Pro"/>
        </w:rPr>
        <w:t>2024</w:t>
      </w:r>
      <w:r w:rsidRPr="004A7781">
        <w:rPr>
          <w:rFonts w:eastAsia="Source Sans Pro" w:cs="Source Sans Pro"/>
        </w:rPr>
        <w:t>, three employees received redundancy packages at a cost of $</w:t>
      </w:r>
      <w:r w:rsidR="00CC2642" w:rsidRPr="004A7781">
        <w:rPr>
          <w:rFonts w:eastAsia="Source Sans Pro" w:cs="Source Sans Pro"/>
        </w:rPr>
        <w:t>175,371.44</w:t>
      </w:r>
      <w:r w:rsidRPr="004A7781">
        <w:rPr>
          <w:rFonts w:eastAsia="Source Sans Pro" w:cs="Source Sans Pro"/>
        </w:rPr>
        <w:t xml:space="preserve"> (excluding leave entitlements). Employees</w:t>
      </w:r>
      <w:r w:rsidRPr="02A17592">
        <w:rPr>
          <w:rFonts w:eastAsia="Source Sans Pro" w:cs="Source Sans Pro"/>
        </w:rPr>
        <w:t xml:space="preserve"> who did not accept an offer of redundancy were offered case management and reasonable attempts were made to find alternative employment placements.</w:t>
      </w:r>
    </w:p>
    <w:p w14:paraId="2805F43F" w14:textId="77777777" w:rsidR="00CE2FF2" w:rsidRPr="009F142E" w:rsidRDefault="00CE2FF2" w:rsidP="00CE2FF2"/>
    <w:p w14:paraId="0777ECC8" w14:textId="77777777" w:rsidR="00CE2FF2" w:rsidRPr="00DD1045" w:rsidRDefault="00CE2FF2" w:rsidP="00CE2FF2">
      <w:pPr>
        <w:pStyle w:val="ARHeading1"/>
      </w:pPr>
      <w:bookmarkStart w:id="112" w:name="_Toc172009732"/>
      <w:r w:rsidRPr="00DD1045">
        <w:t>Industrial and employee action</w:t>
      </w:r>
      <w:bookmarkEnd w:id="112"/>
    </w:p>
    <w:p w14:paraId="1EC36A9B" w14:textId="1B81B803" w:rsidR="00CE2FF2" w:rsidRDefault="00CE2FF2" w:rsidP="00CE2FF2">
      <w:r>
        <w:t>W</w:t>
      </w:r>
      <w:r w:rsidR="00AC29A6">
        <w:t>e</w:t>
      </w:r>
      <w:r w:rsidRPr="00E22B08">
        <w:t xml:space="preserve"> continually review workplace practices to ensure our people can contribute to the role WorkCover plays in the Queensland community. </w:t>
      </w:r>
      <w:r w:rsidRPr="00360CA5">
        <w:t xml:space="preserve">We empower our people to voice their opinions, </w:t>
      </w:r>
      <w:r>
        <w:t>providing</w:t>
      </w:r>
      <w:r w:rsidRPr="00360CA5">
        <w:t xml:space="preserve"> support </w:t>
      </w:r>
      <w:r>
        <w:t>for</w:t>
      </w:r>
      <w:r w:rsidRPr="00360CA5">
        <w:t xml:space="preserve"> addressing employment concerns, seek advice, and contribute suggestions for improvement.</w:t>
      </w:r>
    </w:p>
    <w:p w14:paraId="49DD8DC1" w14:textId="43549B0D" w:rsidR="00CE2FF2" w:rsidRDefault="00CE2FF2" w:rsidP="00CE2FF2">
      <w:r>
        <w:t>W</w:t>
      </w:r>
      <w:r w:rsidR="00AC29A6">
        <w:t>orkCover</w:t>
      </w:r>
      <w:r>
        <w:t xml:space="preserve"> engage</w:t>
      </w:r>
      <w:r w:rsidR="00AC29A6">
        <w:t>s</w:t>
      </w:r>
      <w:r>
        <w:t xml:space="preserve"> in purposeful consultation with Together Queensland (union) on workplace matters. Through the WorkCover Consultative Committee, our leadership team, Together </w:t>
      </w:r>
      <w:r>
        <w:lastRenderedPageBreak/>
        <w:t>Queensland, and internal delegates are provided a forum to actively raise and resolve matters, including organisational change, policy, wellbeing, and safety initiatives.</w:t>
      </w:r>
    </w:p>
    <w:p w14:paraId="0395AD97" w14:textId="04544756" w:rsidR="00506B77" w:rsidRDefault="00CE2FF2" w:rsidP="00CE2FF2">
      <w:r>
        <w:t xml:space="preserve">Working in close partnership with Together Queensland, delegates and the Office of Industrial Relations the </w:t>
      </w:r>
      <w:r w:rsidRPr="078CFFEA">
        <w:rPr>
          <w:i/>
          <w:iCs/>
        </w:rPr>
        <w:t>WorkCover Employing Office - Certified Agreement 2022</w:t>
      </w:r>
      <w:r>
        <w:t xml:space="preserve"> was certified by the Queensland Industrial Relations Commission on 5 July 2023</w:t>
      </w:r>
      <w:r w:rsidR="00C54D9E">
        <w:t>.</w:t>
      </w:r>
      <w:r>
        <w:t xml:space="preserve"> </w:t>
      </w:r>
      <w:r w:rsidR="00C54D9E">
        <w:t>C</w:t>
      </w:r>
      <w:r w:rsidRPr="00E50AE8">
        <w:t>ollectively</w:t>
      </w:r>
      <w:r>
        <w:t xml:space="preserve"> we are currently focusing on implementing the commitments made within the Certified Agreement, which includes</w:t>
      </w:r>
      <w:r w:rsidR="00506B77">
        <w:t>:</w:t>
      </w:r>
      <w:r>
        <w:t xml:space="preserve"> </w:t>
      </w:r>
    </w:p>
    <w:p w14:paraId="66AC13C3" w14:textId="120F2989" w:rsidR="00506B77" w:rsidRDefault="00CE2FF2" w:rsidP="00506B77">
      <w:pPr>
        <w:pStyle w:val="ARDotpoints"/>
        <w:ind w:left="584"/>
      </w:pPr>
      <w:r>
        <w:t>classification and career progression</w:t>
      </w:r>
    </w:p>
    <w:p w14:paraId="796FBB86" w14:textId="5CEF7596" w:rsidR="00506B77" w:rsidRDefault="00CE2FF2" w:rsidP="00506B77">
      <w:pPr>
        <w:pStyle w:val="ARDotpoints"/>
        <w:ind w:left="584"/>
      </w:pPr>
      <w:r>
        <w:t>workload management</w:t>
      </w:r>
    </w:p>
    <w:p w14:paraId="06314A2E" w14:textId="18C468BE" w:rsidR="00506B77" w:rsidRDefault="00506B77" w:rsidP="00506B77">
      <w:pPr>
        <w:pStyle w:val="ARDotpoints"/>
        <w:ind w:left="584"/>
      </w:pPr>
      <w:r>
        <w:t>c</w:t>
      </w:r>
      <w:r w:rsidR="00CE2FF2">
        <w:t>ritical emergency service leave</w:t>
      </w:r>
    </w:p>
    <w:p w14:paraId="3260089F" w14:textId="6614D2ED" w:rsidR="00506B77" w:rsidRDefault="00CE2FF2" w:rsidP="00506B77">
      <w:pPr>
        <w:pStyle w:val="ARDotpoints"/>
        <w:ind w:left="584"/>
      </w:pPr>
      <w:r>
        <w:t>annual calendar for leave requests</w:t>
      </w:r>
    </w:p>
    <w:p w14:paraId="53940FF6" w14:textId="729E3847" w:rsidR="00CE2FF2" w:rsidRDefault="00CE2FF2" w:rsidP="00506B77">
      <w:pPr>
        <w:pStyle w:val="ARDotpoints"/>
        <w:ind w:left="584"/>
      </w:pPr>
      <w:r>
        <w:t xml:space="preserve">work-life balance initiatives. </w:t>
      </w:r>
    </w:p>
    <w:p w14:paraId="515B7F97" w14:textId="77777777" w:rsidR="00E668D3" w:rsidRDefault="00CE2FF2" w:rsidP="00CF4B4B">
      <w:r>
        <w:t>WorkCover and Together Queensland have made positive progress in the key elements outlined in the Agreement.</w:t>
      </w:r>
    </w:p>
    <w:p w14:paraId="6279D173" w14:textId="77777777" w:rsidR="00506B77" w:rsidRDefault="00506B77" w:rsidP="00CF4B4B"/>
    <w:p w14:paraId="0EEBAAA7" w14:textId="77777777" w:rsidR="00506B77" w:rsidRDefault="00506B77" w:rsidP="00CF4B4B"/>
    <w:p w14:paraId="68F51482" w14:textId="77777777" w:rsidR="003B3E47" w:rsidRDefault="003B3E47" w:rsidP="00CF4B4B"/>
    <w:p w14:paraId="7F0D8861" w14:textId="77777777" w:rsidR="003B3E47" w:rsidRDefault="003B3E47" w:rsidP="00CF4B4B"/>
    <w:p w14:paraId="4D0B9237" w14:textId="77777777" w:rsidR="002161E7" w:rsidRDefault="002161E7" w:rsidP="004A7E4A"/>
    <w:p w14:paraId="2C9EA64D" w14:textId="77777777" w:rsidR="002161E7" w:rsidRDefault="002161E7" w:rsidP="004A7E4A"/>
    <w:p w14:paraId="4A76F6D6" w14:textId="77777777" w:rsidR="002161E7" w:rsidRDefault="002161E7" w:rsidP="004A7E4A"/>
    <w:p w14:paraId="610D5767" w14:textId="77777777" w:rsidR="002161E7" w:rsidRDefault="002161E7" w:rsidP="004A7E4A"/>
    <w:p w14:paraId="357BB8B0" w14:textId="77777777" w:rsidR="002161E7" w:rsidRDefault="002161E7" w:rsidP="004A7E4A"/>
    <w:p w14:paraId="14F53FD7" w14:textId="77777777" w:rsidR="002161E7" w:rsidRDefault="002161E7" w:rsidP="004A7E4A"/>
    <w:p w14:paraId="0D6B3954" w14:textId="77777777" w:rsidR="002161E7" w:rsidRDefault="002161E7" w:rsidP="004A7E4A"/>
    <w:p w14:paraId="176F04A1" w14:textId="77777777" w:rsidR="002161E7" w:rsidRDefault="002161E7" w:rsidP="004A7E4A"/>
    <w:p w14:paraId="77AB8EE8" w14:textId="77777777" w:rsidR="002161E7" w:rsidRDefault="002161E7" w:rsidP="004A7E4A"/>
    <w:p w14:paraId="00244115" w14:textId="77777777" w:rsidR="002161E7" w:rsidRDefault="002161E7" w:rsidP="004A7E4A"/>
    <w:p w14:paraId="58A4F8C3" w14:textId="77777777" w:rsidR="002161E7" w:rsidRDefault="002161E7" w:rsidP="004A7E4A">
      <w:pPr>
        <w:sectPr w:rsidR="002161E7" w:rsidSect="002161E7">
          <w:type w:val="continuous"/>
          <w:pgSz w:w="11906" w:h="16838"/>
          <w:pgMar w:top="1440" w:right="1440" w:bottom="1440" w:left="1440" w:header="708" w:footer="708" w:gutter="0"/>
          <w:cols w:num="2" w:space="708"/>
          <w:docGrid w:linePitch="360"/>
        </w:sectPr>
      </w:pPr>
    </w:p>
    <w:p w14:paraId="79C1807A" w14:textId="252BA0D5" w:rsidR="004A7E4A" w:rsidRDefault="004A7E4A" w:rsidP="004A7E4A"/>
    <w:p w14:paraId="0D2B9EFC" w14:textId="77777777" w:rsidR="004A7E4A" w:rsidRDefault="004A7E4A">
      <w:pPr>
        <w:spacing w:before="0" w:after="160"/>
        <w:rPr>
          <w:rFonts w:eastAsiaTheme="majorEastAsia" w:cstheme="majorBidi"/>
          <w:sz w:val="40"/>
          <w:szCs w:val="32"/>
        </w:rPr>
      </w:pPr>
      <w:r>
        <w:br w:type="page"/>
      </w:r>
    </w:p>
    <w:p w14:paraId="7A7B12EF" w14:textId="0F6ABEEF" w:rsidR="002E4A02" w:rsidRPr="00DD1045" w:rsidRDefault="002E4A02" w:rsidP="002E4A02">
      <w:pPr>
        <w:pStyle w:val="ARMainTitle"/>
        <w:pBdr>
          <w:bottom w:val="single" w:sz="4" w:space="1" w:color="auto"/>
        </w:pBdr>
      </w:pPr>
      <w:bookmarkStart w:id="113" w:name="_Toc172009733"/>
      <w:r w:rsidRPr="00DD1045">
        <w:lastRenderedPageBreak/>
        <w:t xml:space="preserve">Governance </w:t>
      </w:r>
      <w:r w:rsidR="00BF16D7" w:rsidRPr="00DD1045">
        <w:t xml:space="preserve">of </w:t>
      </w:r>
      <w:r w:rsidRPr="00DD1045">
        <w:t>management and structure</w:t>
      </w:r>
      <w:bookmarkEnd w:id="113"/>
    </w:p>
    <w:p w14:paraId="4931F37A" w14:textId="77777777" w:rsidR="008831FC" w:rsidRDefault="008831FC" w:rsidP="009F2C89">
      <w:pPr>
        <w:pStyle w:val="ARHeading1"/>
        <w:sectPr w:rsidR="008831FC" w:rsidSect="00995EE4">
          <w:type w:val="continuous"/>
          <w:pgSz w:w="11906" w:h="16838"/>
          <w:pgMar w:top="1440" w:right="1440" w:bottom="1440" w:left="1440" w:header="708" w:footer="708" w:gutter="0"/>
          <w:cols w:space="708"/>
          <w:docGrid w:linePitch="360"/>
        </w:sectPr>
      </w:pPr>
      <w:bookmarkStart w:id="114" w:name="_Toc172009734"/>
    </w:p>
    <w:p w14:paraId="6A1C10F0" w14:textId="77651704" w:rsidR="009F2C89" w:rsidRPr="00DD1045" w:rsidRDefault="009F2C89" w:rsidP="009F2C89">
      <w:pPr>
        <w:pStyle w:val="ARHeading1"/>
      </w:pPr>
      <w:r>
        <w:t>Organisational structure</w:t>
      </w:r>
      <w:bookmarkEnd w:id="114"/>
    </w:p>
    <w:p w14:paraId="2C32067B" w14:textId="060F02E9" w:rsidR="007470C7" w:rsidRDefault="007470C7" w:rsidP="00D22201">
      <w:r w:rsidRPr="00D22201">
        <w:t xml:space="preserve">WorkCover is a statutory authority established under the </w:t>
      </w:r>
      <w:r w:rsidRPr="00D22201">
        <w:rPr>
          <w:i/>
          <w:iCs/>
        </w:rPr>
        <w:t xml:space="preserve">Workers’ Compensation and Rehabilitation Act 2003 </w:t>
      </w:r>
      <w:r w:rsidRPr="00D22201">
        <w:t>(the Act). The WorkCover Board is accountable to the Minister for State Development and Infrastructure, Minister for Industrial Relations and Minister for Racing, the Honourable Grace Grace MP. </w:t>
      </w:r>
    </w:p>
    <w:p w14:paraId="2DCE6AB2" w14:textId="65A4AFC8" w:rsidR="0053455E" w:rsidRPr="00D22201" w:rsidRDefault="0053455E" w:rsidP="00D22201">
      <w:r>
        <w:rPr>
          <w:noProof/>
        </w:rPr>
        <w:drawing>
          <wp:inline distT="0" distB="0" distL="0" distR="0" wp14:anchorId="393FE4F8" wp14:editId="4C7B965F">
            <wp:extent cx="2740061" cy="4140226"/>
            <wp:effectExtent l="0" t="0" r="3175" b="0"/>
            <wp:docPr id="765002218"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002218" name="Picture 1" descr="A diagram of a company&#10;&#10;Description automatically generated"/>
                    <pic:cNvPicPr/>
                  </pic:nvPicPr>
                  <pic:blipFill rotWithShape="1">
                    <a:blip r:embed="rId35" cstate="print">
                      <a:extLst>
                        <a:ext uri="{28A0092B-C50C-407E-A947-70E740481C1C}">
                          <a14:useLocalDpi xmlns:a14="http://schemas.microsoft.com/office/drawing/2010/main" val="0"/>
                        </a:ext>
                      </a:extLst>
                    </a:blip>
                    <a:srcRect t="2457" b="12553"/>
                    <a:stretch/>
                  </pic:blipFill>
                  <pic:spPr bwMode="auto">
                    <a:xfrm>
                      <a:off x="0" y="0"/>
                      <a:ext cx="2756644" cy="4165283"/>
                    </a:xfrm>
                    <a:prstGeom prst="rect">
                      <a:avLst/>
                    </a:prstGeom>
                    <a:ln>
                      <a:noFill/>
                    </a:ln>
                    <a:extLst>
                      <a:ext uri="{53640926-AAD7-44D8-BBD7-CCE9431645EC}">
                        <a14:shadowObscured xmlns:a14="http://schemas.microsoft.com/office/drawing/2010/main"/>
                      </a:ext>
                    </a:extLst>
                  </pic:spPr>
                </pic:pic>
              </a:graphicData>
            </a:graphic>
          </wp:inline>
        </w:drawing>
      </w:r>
    </w:p>
    <w:p w14:paraId="162F66A4" w14:textId="1637A9D7" w:rsidR="007470C7" w:rsidRDefault="007470C7" w:rsidP="3DFEC42B">
      <w:pPr>
        <w:pStyle w:val="paragraph"/>
        <w:spacing w:before="0" w:beforeAutospacing="0" w:after="0" w:afterAutospacing="0"/>
        <w:textAlignment w:val="baseline"/>
        <w:rPr>
          <w:rFonts w:ascii="Segoe UI" w:hAnsi="Segoe UI" w:cs="Segoe UI"/>
          <w:sz w:val="18"/>
          <w:szCs w:val="18"/>
        </w:rPr>
      </w:pPr>
      <w:r w:rsidRPr="3DFEC42B">
        <w:rPr>
          <w:rStyle w:val="eop"/>
          <w:rFonts w:ascii="Source Sans Pro" w:hAnsi="Source Sans Pro" w:cs="Segoe UI"/>
          <w:sz w:val="20"/>
          <w:szCs w:val="20"/>
        </w:rPr>
        <w:t> </w:t>
      </w:r>
    </w:p>
    <w:p w14:paraId="01E07DBA" w14:textId="790FEFCE" w:rsidR="00663FF9" w:rsidRDefault="29598760" w:rsidP="00663FF9">
      <w:pPr>
        <w:pStyle w:val="ARHeading1"/>
      </w:pPr>
      <w:bookmarkStart w:id="115" w:name="_Toc172009735"/>
      <w:r>
        <w:t>WorkCover Board</w:t>
      </w:r>
      <w:bookmarkEnd w:id="115"/>
    </w:p>
    <w:p w14:paraId="56D807B7" w14:textId="2C6E2CE1" w:rsidR="00663FF9" w:rsidRPr="00D22201" w:rsidRDefault="00663FF9" w:rsidP="00D22201">
      <w:r>
        <w:t xml:space="preserve">The </w:t>
      </w:r>
      <w:r w:rsidRPr="033F4064">
        <w:rPr>
          <w:i/>
          <w:iCs/>
        </w:rPr>
        <w:t>Workers’ Compensation and Rehabilitation Act 2003</w:t>
      </w:r>
      <w:r>
        <w:t xml:space="preserve"> (the Act), outlines how WorkCover and the WorkCover Board are established. The Board’s role is set out in the Act and reflected in our Board Charter which specifies key accountabilities and responsibilities of the Board. The Charter is reviewed and approved annually by the Board and made publicly available on our </w:t>
      </w:r>
      <w:hyperlink r:id="rId36" w:history="1">
        <w:r w:rsidR="00D517DA" w:rsidRPr="00D517DA">
          <w:rPr>
            <w:rStyle w:val="Hyperlink"/>
            <w:color w:val="auto"/>
          </w:rPr>
          <w:t xml:space="preserve">website </w:t>
        </w:r>
        <w:r w:rsidR="00D517DA" w:rsidRPr="007968EA">
          <w:rPr>
            <w:rStyle w:val="Hyperlink"/>
            <w:color w:val="auto"/>
            <w:u w:val="none"/>
          </w:rPr>
          <w:t>(</w:t>
        </w:r>
        <w:r w:rsidR="00D517DA" w:rsidRPr="00D517DA">
          <w:rPr>
            <w:rStyle w:val="Hyperlink"/>
            <w:color w:val="auto"/>
          </w:rPr>
          <w:t>https://www.worksafe.qld.gov.au/about/who-we-are/workcover-queensland/board-of-directors/board-charter</w:t>
        </w:r>
        <w:r w:rsidR="00D517DA" w:rsidRPr="007968EA">
          <w:rPr>
            <w:rStyle w:val="Hyperlink"/>
            <w:color w:val="auto"/>
            <w:u w:val="none"/>
          </w:rPr>
          <w:t>).</w:t>
        </w:r>
      </w:hyperlink>
      <w:r w:rsidRPr="00D517DA">
        <w:t> </w:t>
      </w:r>
    </w:p>
    <w:p w14:paraId="38ACD298" w14:textId="77777777" w:rsidR="00663FF9" w:rsidRPr="00D22201" w:rsidRDefault="00663FF9" w:rsidP="00D22201">
      <w:r>
        <w:t xml:space="preserve">During the year, the Board exercised their responsibilities in accordance with the </w:t>
      </w:r>
      <w:r w:rsidRPr="008A1FC9">
        <w:t>Board Charter</w:t>
      </w:r>
      <w:r>
        <w:t>. </w:t>
      </w:r>
    </w:p>
    <w:p w14:paraId="5917E643" w14:textId="39FC1AE2" w:rsidR="00663FF9" w:rsidRPr="00985719" w:rsidRDefault="00663FF9" w:rsidP="00985719">
      <w:pPr>
        <w:pStyle w:val="ARDotpoints"/>
      </w:pPr>
      <w:r>
        <w:rPr>
          <w:rStyle w:val="normaltextrun"/>
          <w:rFonts w:cs="Segoe UI"/>
        </w:rPr>
        <w:t>Setting the overall strategic direction of WorkCover in conjunction with the Executive Leadership Team (ELT)</w:t>
      </w:r>
    </w:p>
    <w:p w14:paraId="04E97867" w14:textId="7DD00C89" w:rsidR="00663FF9" w:rsidRPr="00985719" w:rsidRDefault="00663FF9" w:rsidP="00985719">
      <w:pPr>
        <w:pStyle w:val="ARDotpoints"/>
      </w:pPr>
      <w:r w:rsidRPr="00985719">
        <w:rPr>
          <w:rStyle w:val="normaltextrun"/>
        </w:rPr>
        <w:t>Ensuring that decisions are transparent and aligned with broader societal expectations</w:t>
      </w:r>
    </w:p>
    <w:p w14:paraId="0BBCB5A7" w14:textId="226E9F6E" w:rsidR="00663FF9" w:rsidRPr="00985719" w:rsidRDefault="00663FF9" w:rsidP="00985719">
      <w:pPr>
        <w:pStyle w:val="ARDotpoints"/>
      </w:pPr>
      <w:r w:rsidRPr="00985719">
        <w:rPr>
          <w:rStyle w:val="normaltextrun"/>
        </w:rPr>
        <w:t>Approving the Corporate Plan, Statement of Corporate Intent (including key performance targets), and Employee Relations Plan submitted to the Minister</w:t>
      </w:r>
    </w:p>
    <w:p w14:paraId="61917DEA" w14:textId="40F6D633" w:rsidR="00663FF9" w:rsidRPr="00985719" w:rsidRDefault="00663FF9" w:rsidP="00985719">
      <w:pPr>
        <w:pStyle w:val="ARDotpoints"/>
      </w:pPr>
      <w:r w:rsidRPr="00985719">
        <w:rPr>
          <w:rStyle w:val="normaltextrun"/>
        </w:rPr>
        <w:t xml:space="preserve">Approving the </w:t>
      </w:r>
      <w:r w:rsidR="00CE4DE5" w:rsidRPr="00985719">
        <w:rPr>
          <w:rStyle w:val="normaltextrun"/>
        </w:rPr>
        <w:t>o</w:t>
      </w:r>
      <w:r w:rsidRPr="00985719">
        <w:rPr>
          <w:rStyle w:val="normaltextrun"/>
        </w:rPr>
        <w:t>rganisational governance policy, Code of Conduct, Conflicts of Interest policy, Workplace Health and Safety policy and Risk Management policy, including the organisational risk appetite statements</w:t>
      </w:r>
    </w:p>
    <w:p w14:paraId="25986755" w14:textId="5FC9BBE2" w:rsidR="00663FF9" w:rsidRPr="00985719" w:rsidRDefault="00663FF9" w:rsidP="00985719">
      <w:pPr>
        <w:pStyle w:val="ARDotpoints"/>
      </w:pPr>
      <w:r w:rsidRPr="00985719">
        <w:rPr>
          <w:rStyle w:val="normaltextrun"/>
        </w:rPr>
        <w:t>Approving WorkCover’s investment strategy and policy</w:t>
      </w:r>
    </w:p>
    <w:p w14:paraId="62C0DBE1" w14:textId="570D4F41" w:rsidR="00663FF9" w:rsidRPr="00985719" w:rsidRDefault="00663FF9" w:rsidP="00985719">
      <w:pPr>
        <w:pStyle w:val="ARDotpoints"/>
      </w:pPr>
      <w:r w:rsidRPr="00985719">
        <w:rPr>
          <w:rStyle w:val="normaltextrun"/>
        </w:rPr>
        <w:t>Approving the quarterly reports to the Minister and annual reports (Financial Statements)</w:t>
      </w:r>
    </w:p>
    <w:p w14:paraId="1BC022D4" w14:textId="09794658" w:rsidR="00663FF9" w:rsidRPr="00985719" w:rsidRDefault="00663FF9" w:rsidP="00985719">
      <w:pPr>
        <w:pStyle w:val="ARDotpoints"/>
      </w:pPr>
      <w:r w:rsidRPr="00985719">
        <w:rPr>
          <w:rStyle w:val="normaltextrun"/>
        </w:rPr>
        <w:t>Approving the annual operating budget</w:t>
      </w:r>
    </w:p>
    <w:p w14:paraId="3504DB8F" w14:textId="77777777" w:rsidR="00663FF9" w:rsidRPr="00985719" w:rsidRDefault="00663FF9" w:rsidP="00985719">
      <w:pPr>
        <w:pStyle w:val="ARDotpoints"/>
      </w:pPr>
      <w:r w:rsidRPr="00985719">
        <w:rPr>
          <w:rStyle w:val="normaltextrun"/>
        </w:rPr>
        <w:t>Approving Board, Risk and Audit Committee and People Committee charters.</w:t>
      </w:r>
      <w:r w:rsidRPr="00985719">
        <w:rPr>
          <w:rStyle w:val="eop"/>
        </w:rPr>
        <w:t> </w:t>
      </w:r>
    </w:p>
    <w:p w14:paraId="1667CDCD" w14:textId="77777777" w:rsidR="00663FF9" w:rsidRDefault="00663FF9" w:rsidP="00663FF9">
      <w:pPr>
        <w:pStyle w:val="paragraph"/>
        <w:spacing w:before="0" w:beforeAutospacing="0" w:after="0" w:afterAutospacing="0"/>
        <w:textAlignment w:val="baseline"/>
        <w:rPr>
          <w:rFonts w:ascii="Segoe UI" w:hAnsi="Segoe UI" w:cs="Segoe UI"/>
          <w:sz w:val="18"/>
          <w:szCs w:val="18"/>
        </w:rPr>
      </w:pPr>
      <w:r>
        <w:rPr>
          <w:rStyle w:val="eop"/>
          <w:rFonts w:ascii="Source Sans Pro" w:hAnsi="Source Sans Pro" w:cs="Segoe UI"/>
          <w:sz w:val="20"/>
          <w:szCs w:val="20"/>
        </w:rPr>
        <w:t> </w:t>
      </w:r>
    </w:p>
    <w:p w14:paraId="274EE493" w14:textId="77777777" w:rsidR="00663FF9" w:rsidRPr="00D22201" w:rsidRDefault="00663FF9" w:rsidP="00D22201">
      <w:r w:rsidRPr="00D22201">
        <w:t>The Board has delegated operational management of WorkCover to the CEO, including the delivery of the Corporate Plan and Statement of Corporate Intent strategies and goals with the support of the Executive Leadership Team.  </w:t>
      </w:r>
    </w:p>
    <w:p w14:paraId="18A3B099" w14:textId="4BB68195" w:rsidR="00663FF9" w:rsidRPr="00D22201" w:rsidRDefault="00663FF9" w:rsidP="00D22201">
      <w:r w:rsidRPr="00D22201">
        <w:t xml:space="preserve">The Board is comprised of a maximum of nine independent non-executive directors appointed by the Governor-in-Council, based on their experience and knowledge, for a term of no more than five years. The Governor-in-Council also appoints the Board Chair and Deputy Chair and determines the terms of appointment including remuneration which is paid in accordance with the </w:t>
      </w:r>
      <w:hyperlink r:id="rId37" w:tgtFrame="_blank" w:history="1">
        <w:r w:rsidRPr="00D22201">
          <w:t xml:space="preserve">Remuneration Procedures for Part-Time </w:t>
        </w:r>
        <w:r w:rsidRPr="00D22201">
          <w:lastRenderedPageBreak/>
          <w:t>Chairs and Government Boards</w:t>
        </w:r>
      </w:hyperlink>
      <w:r w:rsidRPr="00D22201">
        <w:t>. Remuneration is outlined in note E3 Related Parties of the Financial Statements. During the 2023</w:t>
      </w:r>
      <w:r w:rsidR="007108BA">
        <w:t>–20</w:t>
      </w:r>
      <w:r w:rsidRPr="00D22201">
        <w:t>24 year, three new Directors were appointed. The Board undertake biennial performance evaluations. The last review was conducted in November 2022. </w:t>
      </w:r>
    </w:p>
    <w:p w14:paraId="5ABAA536" w14:textId="77777777" w:rsidR="00663FF9" w:rsidRPr="00D22201" w:rsidRDefault="00663FF9" w:rsidP="00D22201">
      <w:r w:rsidRPr="00D22201">
        <w:t xml:space="preserve">As at 30 June 2024, WorkCover’s Board </w:t>
      </w:r>
      <w:r w:rsidRPr="004A7781">
        <w:t>has 67%</w:t>
      </w:r>
      <w:r w:rsidRPr="00D22201">
        <w:t xml:space="preserve"> female representation among the directors. </w:t>
      </w:r>
    </w:p>
    <w:p w14:paraId="350A3B6A" w14:textId="77777777" w:rsidR="00663FF9" w:rsidRDefault="00663FF9" w:rsidP="00D22201"/>
    <w:p w14:paraId="7ABF7E73" w14:textId="4C0BD66A" w:rsidR="009F2C89" w:rsidRDefault="24F1FEA3">
      <w:pPr>
        <w:pStyle w:val="ARHeading1"/>
      </w:pPr>
      <w:bookmarkStart w:id="116" w:name="_Toc172009736"/>
      <w:r>
        <w:t>Directors’ meetings</w:t>
      </w:r>
      <w:bookmarkEnd w:id="116"/>
    </w:p>
    <w:p w14:paraId="2E81C114" w14:textId="4F1991F6" w:rsidR="3DFEC42B" w:rsidRDefault="009C168D" w:rsidP="007108BA">
      <w:r>
        <w:t xml:space="preserve">The Board has two established Committees, including the Risk and Audit Committee (refer to Risk Management and Accountability section for details) and the People Committee. WorkCover held </w:t>
      </w:r>
      <w:r w:rsidR="107F6394">
        <w:t>nine</w:t>
      </w:r>
      <w:r>
        <w:t xml:space="preserve"> Board sessions in 2023</w:t>
      </w:r>
      <w:r w:rsidR="00DB5114">
        <w:t>–</w:t>
      </w:r>
      <w:r w:rsidR="00056FEB">
        <w:t>20</w:t>
      </w:r>
      <w:r>
        <w:t>24,</w:t>
      </w:r>
      <w:r w:rsidR="659C4165">
        <w:t xml:space="preserve"> </w:t>
      </w:r>
      <w:r w:rsidR="74F4F852">
        <w:t>one</w:t>
      </w:r>
      <w:r w:rsidR="659C4165">
        <w:t xml:space="preserve"> which was dedicated to strategy planning, </w:t>
      </w:r>
      <w:r w:rsidR="76C1CBC3">
        <w:t>one</w:t>
      </w:r>
      <w:r w:rsidR="659C4165">
        <w:t xml:space="preserve"> deep dive,</w:t>
      </w:r>
      <w:r>
        <w:t xml:space="preserve"> </w:t>
      </w:r>
      <w:r w:rsidR="2788AD61">
        <w:t>four</w:t>
      </w:r>
      <w:r>
        <w:t xml:space="preserve"> Risk and Audit Committee meetings and </w:t>
      </w:r>
      <w:r w:rsidR="27FA6587">
        <w:t>four</w:t>
      </w:r>
      <w:r>
        <w:t xml:space="preserve"> People Committee meetings. </w:t>
      </w:r>
      <w:r w:rsidR="51E7D8F4">
        <w:t xml:space="preserve"> The CEO, Deputy CEO and Chief Legal Officer (Company Secretary) attend all Board and Committee meetings, and other members of the Executive Leadership Team (ELT) and senior management are invited periodically to present and discuss relevant topics. </w:t>
      </w:r>
    </w:p>
    <w:p w14:paraId="3E6D1FB6" w14:textId="77777777" w:rsidR="008831FC" w:rsidRDefault="008831FC" w:rsidP="00445B09"/>
    <w:p w14:paraId="500F46D4" w14:textId="77777777" w:rsidR="008831FC" w:rsidRDefault="008831FC" w:rsidP="00445B09"/>
    <w:p w14:paraId="23EC31DD" w14:textId="77777777" w:rsidR="008831FC" w:rsidRDefault="008831FC" w:rsidP="00445B09"/>
    <w:p w14:paraId="0FEF456B" w14:textId="77777777" w:rsidR="008831FC" w:rsidRDefault="008831FC" w:rsidP="00445B09"/>
    <w:p w14:paraId="2DF582CB" w14:textId="77777777" w:rsidR="008831FC" w:rsidRDefault="008831FC" w:rsidP="00445B09"/>
    <w:p w14:paraId="314DBA27" w14:textId="77777777" w:rsidR="008831FC" w:rsidRDefault="008831FC" w:rsidP="00445B09"/>
    <w:p w14:paraId="79F5B53F" w14:textId="77777777" w:rsidR="008831FC" w:rsidRDefault="008831FC" w:rsidP="00445B09"/>
    <w:p w14:paraId="20B24F7C" w14:textId="77777777" w:rsidR="008831FC" w:rsidRDefault="008831FC" w:rsidP="00445B09"/>
    <w:p w14:paraId="09E6FF16" w14:textId="77777777" w:rsidR="008831FC" w:rsidRDefault="008831FC" w:rsidP="00445B09"/>
    <w:p w14:paraId="189A7AAF" w14:textId="77777777" w:rsidR="008831FC" w:rsidRDefault="008831FC" w:rsidP="00445B09"/>
    <w:p w14:paraId="0C23DCD4" w14:textId="77777777" w:rsidR="008831FC" w:rsidRDefault="008831FC" w:rsidP="00445B09"/>
    <w:p w14:paraId="0F6D875E" w14:textId="77777777" w:rsidR="008831FC" w:rsidRDefault="008831FC" w:rsidP="00445B09"/>
    <w:p w14:paraId="2FD341DE" w14:textId="77777777" w:rsidR="008831FC" w:rsidRDefault="008831FC" w:rsidP="00445B09"/>
    <w:p w14:paraId="694049FB" w14:textId="77777777" w:rsidR="008831FC" w:rsidRDefault="008831FC" w:rsidP="00445B09"/>
    <w:p w14:paraId="50C19959" w14:textId="77777777" w:rsidR="004F58EB" w:rsidRDefault="004F58EB" w:rsidP="00445B09"/>
    <w:p w14:paraId="2C0F4467" w14:textId="77777777" w:rsidR="008831FC" w:rsidRDefault="008831FC" w:rsidP="00445B09"/>
    <w:p w14:paraId="5B8EC908" w14:textId="77777777" w:rsidR="008831FC" w:rsidRDefault="008831FC" w:rsidP="00445B09"/>
    <w:p w14:paraId="538C72CD" w14:textId="77777777" w:rsidR="008831FC" w:rsidRDefault="008831FC" w:rsidP="00445B09"/>
    <w:p w14:paraId="1C77EE70" w14:textId="77777777" w:rsidR="008831FC" w:rsidRDefault="008831FC" w:rsidP="00445B09"/>
    <w:p w14:paraId="732B2DEF" w14:textId="77777777" w:rsidR="008831FC" w:rsidRDefault="008831FC" w:rsidP="00445B09"/>
    <w:p w14:paraId="303409F8" w14:textId="77777777" w:rsidR="00445B09" w:rsidRDefault="00445B09" w:rsidP="00445B09"/>
    <w:p w14:paraId="029EFE3B" w14:textId="77777777" w:rsidR="00445B09" w:rsidRDefault="00445B09" w:rsidP="00445B09"/>
    <w:p w14:paraId="68CF8579" w14:textId="77777777" w:rsidR="00445B09" w:rsidRDefault="00445B09" w:rsidP="00445B09"/>
    <w:p w14:paraId="1E559B62" w14:textId="77777777" w:rsidR="00445B09" w:rsidRDefault="00445B09" w:rsidP="00445B09"/>
    <w:p w14:paraId="63696A1E" w14:textId="77777777" w:rsidR="00445B09" w:rsidRDefault="00445B09" w:rsidP="00445B09"/>
    <w:p w14:paraId="588928D6" w14:textId="77777777" w:rsidR="00445B09" w:rsidRDefault="00445B09" w:rsidP="00445B09"/>
    <w:p w14:paraId="29D39F2D" w14:textId="77777777" w:rsidR="00445B09" w:rsidRDefault="00445B09" w:rsidP="00445B09"/>
    <w:p w14:paraId="430B406C" w14:textId="77777777" w:rsidR="00445B09" w:rsidRDefault="00445B09" w:rsidP="00445B09"/>
    <w:p w14:paraId="66CFB421" w14:textId="77777777" w:rsidR="00445B09" w:rsidRDefault="00445B09" w:rsidP="00445B09"/>
    <w:p w14:paraId="73809F2F" w14:textId="77777777" w:rsidR="00445B09" w:rsidRDefault="00445B09" w:rsidP="00445B09"/>
    <w:p w14:paraId="1822362D" w14:textId="77777777" w:rsidR="00445B09" w:rsidRDefault="00445B09" w:rsidP="00445B09"/>
    <w:p w14:paraId="21AB0DA1" w14:textId="77777777" w:rsidR="00445B09" w:rsidRDefault="00445B09" w:rsidP="00445B09"/>
    <w:p w14:paraId="419E0F4A" w14:textId="77777777" w:rsidR="00445B09" w:rsidRDefault="00445B09" w:rsidP="00445B09"/>
    <w:p w14:paraId="48AFB2D5" w14:textId="77777777" w:rsidR="00445B09" w:rsidRDefault="00445B09" w:rsidP="00445B09"/>
    <w:p w14:paraId="422BF514" w14:textId="77777777" w:rsidR="00445B09" w:rsidRDefault="00445B09" w:rsidP="00445B09"/>
    <w:p w14:paraId="1CF30775" w14:textId="77777777" w:rsidR="008831FC" w:rsidRDefault="008831FC" w:rsidP="00445B09"/>
    <w:p w14:paraId="6B8DDCCA" w14:textId="77777777" w:rsidR="008831FC" w:rsidRDefault="008831FC" w:rsidP="00445B09"/>
    <w:p w14:paraId="698E9681" w14:textId="77777777" w:rsidR="008831FC" w:rsidRDefault="008831FC" w:rsidP="00445B09"/>
    <w:p w14:paraId="14D0D65A" w14:textId="77777777" w:rsidR="008831FC" w:rsidRDefault="008831FC" w:rsidP="00445B09"/>
    <w:p w14:paraId="3C78F6DC" w14:textId="77777777" w:rsidR="008831FC" w:rsidRDefault="008831FC" w:rsidP="00445B09"/>
    <w:p w14:paraId="3E82F74D" w14:textId="77777777" w:rsidR="008831FC" w:rsidRDefault="008831FC" w:rsidP="00445B09"/>
    <w:p w14:paraId="33F0225F" w14:textId="77777777" w:rsidR="008831FC" w:rsidRDefault="008831FC" w:rsidP="00445B09"/>
    <w:p w14:paraId="0A86A943" w14:textId="77777777" w:rsidR="008831FC" w:rsidRDefault="008831FC" w:rsidP="00445B09"/>
    <w:p w14:paraId="412B2B00" w14:textId="77777777" w:rsidR="008831FC" w:rsidRDefault="008831FC" w:rsidP="00445B09"/>
    <w:p w14:paraId="7ED3B8DF" w14:textId="77777777" w:rsidR="008831FC" w:rsidRDefault="008831FC" w:rsidP="00445B09"/>
    <w:p w14:paraId="27D25D87" w14:textId="77777777" w:rsidR="008831FC" w:rsidRDefault="008831FC" w:rsidP="00445B09"/>
    <w:p w14:paraId="662749A1" w14:textId="77777777" w:rsidR="008831FC" w:rsidRDefault="008831FC" w:rsidP="00445B09"/>
    <w:p w14:paraId="1C5674B3" w14:textId="77777777" w:rsidR="008831FC" w:rsidRDefault="008831FC" w:rsidP="007108BA">
      <w:pPr>
        <w:pStyle w:val="ARSub-heading1"/>
        <w:sectPr w:rsidR="008831FC" w:rsidSect="008831FC">
          <w:type w:val="continuous"/>
          <w:pgSz w:w="11906" w:h="16838"/>
          <w:pgMar w:top="1440" w:right="1440" w:bottom="1440" w:left="1440" w:header="708" w:footer="708" w:gutter="0"/>
          <w:cols w:num="2" w:space="708"/>
          <w:docGrid w:linePitch="360"/>
        </w:sectPr>
      </w:pPr>
    </w:p>
    <w:p w14:paraId="6AB5D881" w14:textId="0EB4B5E9" w:rsidR="009C168D" w:rsidRPr="00D22201" w:rsidRDefault="00BF6C41" w:rsidP="007108BA">
      <w:pPr>
        <w:pStyle w:val="ARSub-heading1"/>
        <w:rPr>
          <w:i/>
          <w:iCs/>
          <w:highlight w:val="yellow"/>
        </w:rPr>
      </w:pPr>
      <w:r>
        <w:lastRenderedPageBreak/>
        <w:t xml:space="preserve">Meeting attendance and </w:t>
      </w:r>
      <w:r w:rsidR="009C168D" w:rsidRPr="00D22201">
        <w:t xml:space="preserve">out of pocket expenses </w:t>
      </w:r>
    </w:p>
    <w:p w14:paraId="5D3FB5D6" w14:textId="78E6F3F6" w:rsidR="009C168D" w:rsidRDefault="00CB161F" w:rsidP="3DFEC42B">
      <w:pPr>
        <w:rPr>
          <w:i/>
          <w:iCs/>
        </w:rPr>
      </w:pPr>
      <w:r>
        <w:rPr>
          <w:i/>
          <w:iCs/>
        </w:rPr>
        <w:t>While not all Directors are members of each Committee, they all have a standing invitation to attend Committee meetings</w:t>
      </w:r>
      <w:r w:rsidR="00D4125D">
        <w:rPr>
          <w:i/>
          <w:iCs/>
        </w:rPr>
        <w:t xml:space="preserve">. </w:t>
      </w:r>
      <w:r w:rsidR="00EC0B31" w:rsidRPr="00C442FD">
        <w:rPr>
          <w:i/>
          <w:iCs/>
        </w:rPr>
        <w:t>The below summarises</w:t>
      </w:r>
      <w:r w:rsidR="00D4125D">
        <w:rPr>
          <w:i/>
          <w:iCs/>
        </w:rPr>
        <w:t xml:space="preserve"> attendance across the financial year and</w:t>
      </w:r>
      <w:r w:rsidR="009C168D" w:rsidRPr="00C442FD">
        <w:rPr>
          <w:i/>
          <w:iCs/>
        </w:rPr>
        <w:t xml:space="preserve"> ‘Out of pocket’ expenses </w:t>
      </w:r>
      <w:r w:rsidR="00EC0B31" w:rsidRPr="00C442FD">
        <w:rPr>
          <w:i/>
          <w:iCs/>
        </w:rPr>
        <w:t xml:space="preserve">as </w:t>
      </w:r>
      <w:r w:rsidR="009C168D" w:rsidRPr="00C442FD">
        <w:rPr>
          <w:i/>
          <w:iCs/>
        </w:rPr>
        <w:t xml:space="preserve">outlined in the Remuneration Procedures for part-time Chairs and members of Queensland Government bodies and includes (travel, accommodation, motor </w:t>
      </w:r>
      <w:r w:rsidR="009C168D" w:rsidRPr="008A4A66">
        <w:rPr>
          <w:i/>
          <w:iCs/>
        </w:rPr>
        <w:t xml:space="preserve">vehicle </w:t>
      </w:r>
      <w:r w:rsidR="009C168D" w:rsidRPr="00C442FD">
        <w:rPr>
          <w:i/>
          <w:iCs/>
        </w:rPr>
        <w:t>allowances, meals).</w:t>
      </w:r>
      <w:r w:rsidR="00663630">
        <w:rPr>
          <w:i/>
          <w:iCs/>
        </w:rPr>
        <w:t xml:space="preserve"> </w:t>
      </w:r>
    </w:p>
    <w:tbl>
      <w:tblPr>
        <w:tblStyle w:val="TableGrid"/>
        <w:tblW w:w="9634" w:type="dxa"/>
        <w:tblInd w:w="-5" w:type="dxa"/>
        <w:tblBorders>
          <w:top w:val="single" w:sz="8" w:space="0" w:color="E7E6E6" w:themeColor="background2"/>
          <w:left w:val="single" w:sz="8" w:space="0" w:color="E7E6E6" w:themeColor="background2"/>
          <w:bottom w:val="single" w:sz="8" w:space="0" w:color="E7E6E6" w:themeColor="background2"/>
          <w:right w:val="single" w:sz="8" w:space="0" w:color="E7E6E6" w:themeColor="background2"/>
          <w:insideH w:val="single" w:sz="8" w:space="0" w:color="E7E6E6" w:themeColor="background2"/>
          <w:insideV w:val="single" w:sz="8" w:space="0" w:color="E7E6E6" w:themeColor="background2"/>
        </w:tblBorders>
        <w:tblLayout w:type="fixed"/>
        <w:tblLook w:val="04A0" w:firstRow="1" w:lastRow="0" w:firstColumn="1" w:lastColumn="0" w:noHBand="0" w:noVBand="1"/>
      </w:tblPr>
      <w:tblGrid>
        <w:gridCol w:w="2415"/>
        <w:gridCol w:w="1418"/>
        <w:gridCol w:w="1417"/>
        <w:gridCol w:w="1559"/>
        <w:gridCol w:w="1560"/>
        <w:gridCol w:w="1265"/>
      </w:tblGrid>
      <w:tr w:rsidR="00F7799A" w:rsidRPr="00DD1045" w14:paraId="2ACB490F" w14:textId="6171873A" w:rsidTr="00601C12">
        <w:trPr>
          <w:trHeight w:val="226"/>
        </w:trPr>
        <w:tc>
          <w:tcPr>
            <w:tcW w:w="2415" w:type="dxa"/>
            <w:tcBorders>
              <w:left w:val="nil"/>
            </w:tcBorders>
            <w:shd w:val="clear" w:color="auto" w:fill="7F7F7F" w:themeFill="text1" w:themeFillTint="80"/>
            <w:vAlign w:val="center"/>
          </w:tcPr>
          <w:p w14:paraId="38C177C5" w14:textId="0EDB7622" w:rsidR="00304E20" w:rsidRPr="00DD1045" w:rsidRDefault="00304E20" w:rsidP="00B318DB">
            <w:pPr>
              <w:pStyle w:val="ARDotpoints"/>
              <w:numPr>
                <w:ilvl w:val="0"/>
                <w:numId w:val="0"/>
              </w:numPr>
              <w:rPr>
                <w:color w:val="FFFFFF" w:themeColor="background1"/>
              </w:rPr>
            </w:pPr>
            <w:r>
              <w:rPr>
                <w:color w:val="FFFFFF" w:themeColor="background1"/>
              </w:rPr>
              <w:t>Current Directors</w:t>
            </w:r>
            <w:r>
              <w:rPr>
                <w:color w:val="FFFFFF" w:themeColor="background1"/>
              </w:rPr>
              <w:br/>
              <w:t xml:space="preserve"> (as at 30 June 2024)</w:t>
            </w:r>
          </w:p>
        </w:tc>
        <w:tc>
          <w:tcPr>
            <w:tcW w:w="1418" w:type="dxa"/>
            <w:shd w:val="clear" w:color="auto" w:fill="7F7F7F" w:themeFill="text1" w:themeFillTint="80"/>
            <w:vAlign w:val="center"/>
          </w:tcPr>
          <w:p w14:paraId="711C8739" w14:textId="2ABB17E2" w:rsidR="00304E20" w:rsidRPr="00DD1045" w:rsidRDefault="00304E20" w:rsidP="002B431B">
            <w:pPr>
              <w:pStyle w:val="ARDotpoints"/>
              <w:numPr>
                <w:ilvl w:val="0"/>
                <w:numId w:val="0"/>
              </w:numPr>
              <w:jc w:val="center"/>
              <w:rPr>
                <w:color w:val="FFFFFF" w:themeColor="background1"/>
              </w:rPr>
            </w:pPr>
            <w:r>
              <w:rPr>
                <w:color w:val="FFFFFF" w:themeColor="background1"/>
              </w:rPr>
              <w:t>Appointment term</w:t>
            </w:r>
          </w:p>
        </w:tc>
        <w:tc>
          <w:tcPr>
            <w:tcW w:w="1417" w:type="dxa"/>
            <w:shd w:val="clear" w:color="auto" w:fill="7F7F7F" w:themeFill="text1" w:themeFillTint="80"/>
            <w:vAlign w:val="center"/>
          </w:tcPr>
          <w:p w14:paraId="0B369498" w14:textId="4E797B11" w:rsidR="00304E20" w:rsidRPr="00DD1045" w:rsidRDefault="00304E20" w:rsidP="002B431B">
            <w:pPr>
              <w:pStyle w:val="ARDotpoints"/>
              <w:numPr>
                <w:ilvl w:val="0"/>
                <w:numId w:val="0"/>
              </w:numPr>
              <w:jc w:val="center"/>
              <w:rPr>
                <w:color w:val="FFFFFF" w:themeColor="background1"/>
              </w:rPr>
            </w:pPr>
            <w:r>
              <w:rPr>
                <w:color w:val="FFFFFF" w:themeColor="background1"/>
              </w:rPr>
              <w:t xml:space="preserve">Board meetings attended / </w:t>
            </w:r>
            <w:r w:rsidR="0AB2A10F" w:rsidRPr="462628EE">
              <w:rPr>
                <w:color w:val="FFFFFF" w:themeColor="background1"/>
              </w:rPr>
              <w:t>required</w:t>
            </w:r>
            <w:r w:rsidR="0AB2A10F" w:rsidRPr="156FC3DA">
              <w:rPr>
                <w:color w:val="FFFFFF" w:themeColor="background1"/>
              </w:rPr>
              <w:t xml:space="preserve"> to </w:t>
            </w:r>
            <w:r w:rsidR="0AB2A10F" w:rsidRPr="4BBDCF3B">
              <w:rPr>
                <w:color w:val="FFFFFF" w:themeColor="background1"/>
              </w:rPr>
              <w:t>attend</w:t>
            </w:r>
          </w:p>
        </w:tc>
        <w:tc>
          <w:tcPr>
            <w:tcW w:w="1559" w:type="dxa"/>
            <w:shd w:val="clear" w:color="auto" w:fill="7F7F7F" w:themeFill="text1" w:themeFillTint="80"/>
            <w:vAlign w:val="center"/>
          </w:tcPr>
          <w:p w14:paraId="47EF4284" w14:textId="7D6E9F21" w:rsidR="00304E20" w:rsidRPr="00DD1045" w:rsidRDefault="00304E20" w:rsidP="00B318DB">
            <w:pPr>
              <w:pStyle w:val="ARDotpoints"/>
              <w:numPr>
                <w:ilvl w:val="0"/>
                <w:numId w:val="0"/>
              </w:numPr>
              <w:jc w:val="center"/>
              <w:rPr>
                <w:color w:val="FFFFFF" w:themeColor="background1"/>
              </w:rPr>
            </w:pPr>
            <w:r>
              <w:rPr>
                <w:color w:val="FFFFFF" w:themeColor="background1"/>
              </w:rPr>
              <w:t xml:space="preserve">Risk and Audit Committee meetings attended / </w:t>
            </w:r>
            <w:r w:rsidR="3AAFEFAB" w:rsidRPr="2A5EB51C">
              <w:rPr>
                <w:color w:val="FFFFFF" w:themeColor="background1"/>
              </w:rPr>
              <w:t>required</w:t>
            </w:r>
            <w:r w:rsidR="3AAFEFAB" w:rsidRPr="51155984">
              <w:rPr>
                <w:color w:val="FFFFFF" w:themeColor="background1"/>
              </w:rPr>
              <w:t xml:space="preserve"> to attend</w:t>
            </w:r>
          </w:p>
        </w:tc>
        <w:tc>
          <w:tcPr>
            <w:tcW w:w="1560" w:type="dxa"/>
            <w:shd w:val="clear" w:color="auto" w:fill="7F7F7F" w:themeFill="text1" w:themeFillTint="80"/>
            <w:vAlign w:val="center"/>
          </w:tcPr>
          <w:p w14:paraId="40D79DBE" w14:textId="2630CFC6" w:rsidR="00304E20" w:rsidRPr="00DD1045" w:rsidRDefault="00304E20" w:rsidP="00B318DB">
            <w:pPr>
              <w:pStyle w:val="ARDotpoints"/>
              <w:numPr>
                <w:ilvl w:val="0"/>
                <w:numId w:val="0"/>
              </w:numPr>
              <w:jc w:val="center"/>
              <w:rPr>
                <w:color w:val="FFFFFF" w:themeColor="background1"/>
              </w:rPr>
            </w:pPr>
            <w:r>
              <w:rPr>
                <w:color w:val="FFFFFF" w:themeColor="background1"/>
              </w:rPr>
              <w:t xml:space="preserve">People Committee meetings attended / </w:t>
            </w:r>
            <w:r w:rsidR="32C5969D" w:rsidRPr="2A5EB51C">
              <w:rPr>
                <w:color w:val="FFFFFF" w:themeColor="background1"/>
              </w:rPr>
              <w:t>required</w:t>
            </w:r>
            <w:r w:rsidR="32C5969D" w:rsidRPr="51155984">
              <w:rPr>
                <w:color w:val="FFFFFF" w:themeColor="background1"/>
              </w:rPr>
              <w:t xml:space="preserve"> to attend</w:t>
            </w:r>
          </w:p>
        </w:tc>
        <w:tc>
          <w:tcPr>
            <w:tcW w:w="1265" w:type="dxa"/>
            <w:tcBorders>
              <w:right w:val="nil"/>
            </w:tcBorders>
            <w:shd w:val="clear" w:color="auto" w:fill="7F7F7F" w:themeFill="text1" w:themeFillTint="80"/>
            <w:vAlign w:val="center"/>
          </w:tcPr>
          <w:p w14:paraId="5B5DB8C0" w14:textId="446E902B" w:rsidR="00304E20" w:rsidRDefault="00304E20" w:rsidP="00BE5F3E">
            <w:pPr>
              <w:pStyle w:val="ARDotpoints"/>
              <w:numPr>
                <w:ilvl w:val="0"/>
                <w:numId w:val="0"/>
              </w:numPr>
              <w:jc w:val="center"/>
              <w:rPr>
                <w:color w:val="FFFFFF" w:themeColor="background1"/>
              </w:rPr>
            </w:pPr>
            <w:r>
              <w:rPr>
                <w:color w:val="FFFFFF" w:themeColor="background1"/>
              </w:rPr>
              <w:t>Out of pocket expenses</w:t>
            </w:r>
          </w:p>
        </w:tc>
      </w:tr>
      <w:tr w:rsidR="000A33E1" w:rsidRPr="00DD1045" w14:paraId="3CCB2A0F" w14:textId="0EB7D5B2" w:rsidTr="00601C12">
        <w:trPr>
          <w:trHeight w:val="91"/>
        </w:trPr>
        <w:tc>
          <w:tcPr>
            <w:tcW w:w="2415" w:type="dxa"/>
            <w:tcBorders>
              <w:left w:val="nil"/>
            </w:tcBorders>
            <w:vAlign w:val="center"/>
          </w:tcPr>
          <w:p w14:paraId="47E7274F" w14:textId="191E272F" w:rsidR="00304E20" w:rsidRPr="002B431B" w:rsidRDefault="00304E20" w:rsidP="00B318DB">
            <w:pPr>
              <w:pStyle w:val="ARDotpoints"/>
              <w:numPr>
                <w:ilvl w:val="0"/>
                <w:numId w:val="0"/>
              </w:numPr>
              <w:rPr>
                <w:rFonts w:ascii="Source Sans Pro SemiBold" w:hAnsi="Source Sans Pro SemiBold"/>
              </w:rPr>
            </w:pPr>
            <w:r w:rsidRPr="002B431B">
              <w:rPr>
                <w:rFonts w:ascii="Source Sans Pro SemiBold" w:hAnsi="Source Sans Pro SemiBold"/>
              </w:rPr>
              <w:t>Dr Anthony Lynham, Board Chair</w:t>
            </w:r>
            <w:r w:rsidRPr="002B431B">
              <w:rPr>
                <w:rFonts w:ascii="Source Sans Pro SemiBold" w:eastAsia="Times New Roman" w:hAnsi="Source Sans Pro SemiBold" w:cs="Times New Roman"/>
                <w:kern w:val="0"/>
                <w:lang w:eastAsia="en-AU"/>
                <w14:ligatures w14:val="none"/>
              </w:rPr>
              <w:t xml:space="preserve"> </w:t>
            </w:r>
          </w:p>
          <w:p w14:paraId="4C46A42F" w14:textId="128F28F3" w:rsidR="00304E20" w:rsidRPr="00DD1045" w:rsidRDefault="00304E20" w:rsidP="3DFEC42B">
            <w:pPr>
              <w:pStyle w:val="ARDotpoints"/>
              <w:numPr>
                <w:ilvl w:val="0"/>
                <w:numId w:val="0"/>
              </w:numPr>
              <w:rPr>
                <w:rFonts w:eastAsia="Times New Roman" w:cs="Times New Roman"/>
                <w:lang w:eastAsia="en-AU"/>
              </w:rPr>
            </w:pPr>
            <w:r w:rsidRPr="008A4A66">
              <w:rPr>
                <w:rFonts w:eastAsia="Times New Roman" w:cs="Times New Roman"/>
                <w:sz w:val="16"/>
                <w:szCs w:val="16"/>
                <w:lang w:eastAsia="en-AU"/>
              </w:rPr>
              <w:t>Risk and Audit Committee member</w:t>
            </w:r>
            <w:r w:rsidR="002B431B" w:rsidRPr="008A4A66">
              <w:rPr>
                <w:rFonts w:eastAsia="Times New Roman" w:cs="Times New Roman"/>
                <w:sz w:val="16"/>
                <w:szCs w:val="16"/>
                <w:lang w:eastAsia="en-AU"/>
              </w:rPr>
              <w:br/>
            </w:r>
            <w:r w:rsidRPr="008A4A66">
              <w:rPr>
                <w:rFonts w:eastAsia="Times New Roman" w:cs="Times New Roman"/>
                <w:sz w:val="16"/>
                <w:szCs w:val="16"/>
                <w:lang w:eastAsia="en-AU"/>
              </w:rPr>
              <w:t>People Committee member</w:t>
            </w:r>
          </w:p>
        </w:tc>
        <w:tc>
          <w:tcPr>
            <w:tcW w:w="1418" w:type="dxa"/>
            <w:vAlign w:val="center"/>
          </w:tcPr>
          <w:p w14:paraId="4D1589C6" w14:textId="53D56D3F" w:rsidR="00304E20" w:rsidRPr="00DD1045" w:rsidRDefault="00304E20" w:rsidP="000A23CC">
            <w:pPr>
              <w:pStyle w:val="ARDotpoints"/>
              <w:numPr>
                <w:ilvl w:val="0"/>
                <w:numId w:val="0"/>
              </w:numPr>
              <w:jc w:val="center"/>
            </w:pPr>
            <w:r>
              <w:t>01/07/2023 – 30/06/2026</w:t>
            </w:r>
          </w:p>
        </w:tc>
        <w:tc>
          <w:tcPr>
            <w:tcW w:w="1417" w:type="dxa"/>
            <w:vAlign w:val="center"/>
          </w:tcPr>
          <w:p w14:paraId="633F0C05" w14:textId="1CACDEA1" w:rsidR="00304E20" w:rsidRPr="00DD1045" w:rsidRDefault="004F6BA9" w:rsidP="000A23CC">
            <w:pPr>
              <w:pStyle w:val="ARDotpoints"/>
              <w:numPr>
                <w:ilvl w:val="0"/>
                <w:numId w:val="0"/>
              </w:numPr>
              <w:jc w:val="center"/>
            </w:pPr>
            <w:r>
              <w:t>9</w:t>
            </w:r>
            <w:r w:rsidR="00304E20">
              <w:t>/9</w:t>
            </w:r>
          </w:p>
        </w:tc>
        <w:tc>
          <w:tcPr>
            <w:tcW w:w="1559" w:type="dxa"/>
            <w:vAlign w:val="center"/>
          </w:tcPr>
          <w:p w14:paraId="04BD0F82" w14:textId="763192B9" w:rsidR="00304E20" w:rsidRPr="00DD1045" w:rsidRDefault="00304E20" w:rsidP="00B318DB">
            <w:pPr>
              <w:pStyle w:val="ARDotpoints"/>
              <w:numPr>
                <w:ilvl w:val="0"/>
                <w:numId w:val="0"/>
              </w:numPr>
              <w:jc w:val="center"/>
            </w:pPr>
            <w:r>
              <w:t>3/4</w:t>
            </w:r>
          </w:p>
        </w:tc>
        <w:tc>
          <w:tcPr>
            <w:tcW w:w="1560" w:type="dxa"/>
            <w:vAlign w:val="center"/>
          </w:tcPr>
          <w:p w14:paraId="6408B315" w14:textId="3A391745" w:rsidR="00304E20" w:rsidRPr="00DD1045" w:rsidRDefault="00304E20" w:rsidP="00B318DB">
            <w:pPr>
              <w:pStyle w:val="ARDotpoints"/>
              <w:numPr>
                <w:ilvl w:val="0"/>
                <w:numId w:val="0"/>
              </w:numPr>
              <w:jc w:val="center"/>
            </w:pPr>
            <w:r>
              <w:t>3/4</w:t>
            </w:r>
          </w:p>
        </w:tc>
        <w:tc>
          <w:tcPr>
            <w:tcW w:w="1265" w:type="dxa"/>
            <w:tcBorders>
              <w:right w:val="nil"/>
            </w:tcBorders>
            <w:vAlign w:val="center"/>
          </w:tcPr>
          <w:p w14:paraId="3D8DCB68" w14:textId="70E9E2FB" w:rsidR="00304E20" w:rsidRDefault="00BA190E" w:rsidP="00304E20">
            <w:pPr>
              <w:pStyle w:val="ARDotpoints"/>
              <w:numPr>
                <w:ilvl w:val="0"/>
                <w:numId w:val="0"/>
              </w:numPr>
              <w:jc w:val="center"/>
            </w:pPr>
            <w:r>
              <w:t>$</w:t>
            </w:r>
            <w:r w:rsidR="00DC0E56">
              <w:t>263.78</w:t>
            </w:r>
          </w:p>
        </w:tc>
      </w:tr>
      <w:tr w:rsidR="000A33E1" w:rsidRPr="00DD1045" w14:paraId="0072F25E" w14:textId="6D590D14" w:rsidTr="00601C12">
        <w:trPr>
          <w:trHeight w:val="91"/>
        </w:trPr>
        <w:tc>
          <w:tcPr>
            <w:tcW w:w="2415" w:type="dxa"/>
            <w:tcBorders>
              <w:left w:val="nil"/>
            </w:tcBorders>
            <w:vAlign w:val="center"/>
          </w:tcPr>
          <w:p w14:paraId="221C86B1" w14:textId="5529BB40" w:rsidR="00304E20" w:rsidRPr="002B431B" w:rsidRDefault="00304E20" w:rsidP="00B318DB">
            <w:pPr>
              <w:pStyle w:val="ARDotpoints"/>
              <w:numPr>
                <w:ilvl w:val="0"/>
                <w:numId w:val="0"/>
              </w:numPr>
              <w:rPr>
                <w:rFonts w:ascii="Source Sans Pro SemiBold" w:hAnsi="Source Sans Pro SemiBold"/>
              </w:rPr>
            </w:pPr>
            <w:r w:rsidRPr="002B431B">
              <w:rPr>
                <w:rFonts w:ascii="Source Sans Pro SemiBold" w:hAnsi="Source Sans Pro SemiBold"/>
              </w:rPr>
              <w:t>Jacqueline King, Deputy Board Chair </w:t>
            </w:r>
          </w:p>
          <w:p w14:paraId="36721FD5" w14:textId="6EB271A9" w:rsidR="00304E20" w:rsidRPr="00DD1045" w:rsidRDefault="00304E20" w:rsidP="3DFEC42B">
            <w:pPr>
              <w:pStyle w:val="ARDotpoints"/>
              <w:numPr>
                <w:ilvl w:val="0"/>
                <w:numId w:val="0"/>
              </w:numPr>
              <w:rPr>
                <w:rFonts w:eastAsia="Times New Roman" w:cs="Times New Roman"/>
                <w:lang w:eastAsia="en-AU"/>
              </w:rPr>
            </w:pPr>
            <w:r w:rsidRPr="008A4A66">
              <w:rPr>
                <w:rFonts w:eastAsia="Times New Roman" w:cs="Times New Roman"/>
                <w:sz w:val="16"/>
                <w:szCs w:val="16"/>
                <w:lang w:eastAsia="en-AU"/>
              </w:rPr>
              <w:t>Risk and Audit Committee member</w:t>
            </w:r>
          </w:p>
        </w:tc>
        <w:tc>
          <w:tcPr>
            <w:tcW w:w="1418" w:type="dxa"/>
            <w:vAlign w:val="center"/>
          </w:tcPr>
          <w:p w14:paraId="533C0F1C" w14:textId="460BE3E8" w:rsidR="00304E20" w:rsidRPr="00DD1045" w:rsidRDefault="00304E20" w:rsidP="000A23CC">
            <w:pPr>
              <w:pStyle w:val="ARDotpoints"/>
              <w:numPr>
                <w:ilvl w:val="0"/>
                <w:numId w:val="0"/>
              </w:numPr>
              <w:jc w:val="center"/>
            </w:pPr>
            <w:r w:rsidRPr="009C168D">
              <w:rPr>
                <w:rFonts w:eastAsia="Times New Roman" w:cs="Times New Roman"/>
                <w:kern w:val="0"/>
                <w:lang w:eastAsia="en-AU"/>
                <w14:ligatures w14:val="none"/>
              </w:rPr>
              <w:t>01/07/2023 – 20/06/2026</w:t>
            </w:r>
          </w:p>
        </w:tc>
        <w:tc>
          <w:tcPr>
            <w:tcW w:w="1417" w:type="dxa"/>
            <w:vAlign w:val="center"/>
          </w:tcPr>
          <w:p w14:paraId="421C921E" w14:textId="21FDA07F" w:rsidR="00304E20" w:rsidRPr="00DD1045" w:rsidRDefault="004F6BA9" w:rsidP="000A23CC">
            <w:pPr>
              <w:pStyle w:val="ARDotpoints"/>
              <w:numPr>
                <w:ilvl w:val="0"/>
                <w:numId w:val="0"/>
              </w:numPr>
              <w:jc w:val="center"/>
            </w:pPr>
            <w:r>
              <w:rPr>
                <w:rFonts w:eastAsia="Times New Roman" w:cs="Times New Roman"/>
                <w:kern w:val="0"/>
                <w:lang w:eastAsia="en-AU"/>
                <w14:ligatures w14:val="none"/>
              </w:rPr>
              <w:t>8</w:t>
            </w:r>
            <w:r w:rsidR="00304E20" w:rsidRPr="009C168D">
              <w:rPr>
                <w:rFonts w:eastAsia="Times New Roman" w:cs="Times New Roman"/>
                <w:kern w:val="0"/>
                <w:lang w:eastAsia="en-AU"/>
                <w14:ligatures w14:val="none"/>
              </w:rPr>
              <w:t>/9</w:t>
            </w:r>
          </w:p>
        </w:tc>
        <w:tc>
          <w:tcPr>
            <w:tcW w:w="1559" w:type="dxa"/>
            <w:vAlign w:val="center"/>
          </w:tcPr>
          <w:p w14:paraId="5D1E66C8" w14:textId="03819CEE" w:rsidR="00304E20" w:rsidRPr="0019616F" w:rsidRDefault="00304E20" w:rsidP="00B318DB">
            <w:pPr>
              <w:pStyle w:val="ARDotpoints"/>
              <w:numPr>
                <w:ilvl w:val="0"/>
                <w:numId w:val="0"/>
              </w:numPr>
              <w:jc w:val="center"/>
            </w:pPr>
            <w:r w:rsidRPr="009C168D">
              <w:rPr>
                <w:rFonts w:eastAsia="Times New Roman" w:cs="Times New Roman"/>
                <w:kern w:val="0"/>
                <w:lang w:eastAsia="en-AU"/>
                <w14:ligatures w14:val="none"/>
              </w:rPr>
              <w:t>4/4 </w:t>
            </w:r>
          </w:p>
        </w:tc>
        <w:tc>
          <w:tcPr>
            <w:tcW w:w="1560" w:type="dxa"/>
            <w:vAlign w:val="center"/>
          </w:tcPr>
          <w:p w14:paraId="7259F758" w14:textId="20B3062B" w:rsidR="00304E20" w:rsidRPr="0071543B" w:rsidRDefault="00725D33" w:rsidP="00B318DB">
            <w:pPr>
              <w:pStyle w:val="ARDotpoints"/>
              <w:numPr>
                <w:ilvl w:val="0"/>
                <w:numId w:val="0"/>
              </w:numPr>
              <w:jc w:val="center"/>
              <w:rPr>
                <w:highlight w:val="yellow"/>
              </w:rPr>
            </w:pPr>
            <w:r>
              <w:rPr>
                <w:rFonts w:eastAsia="Times New Roman" w:cs="Times New Roman"/>
                <w:kern w:val="0"/>
                <w:lang w:eastAsia="en-AU"/>
                <w14:ligatures w14:val="none"/>
              </w:rPr>
              <w:t>0/0</w:t>
            </w:r>
            <w:r w:rsidR="00304E20" w:rsidRPr="009C168D">
              <w:rPr>
                <w:rFonts w:eastAsia="Times New Roman" w:cs="Times New Roman"/>
                <w:kern w:val="0"/>
                <w:lang w:eastAsia="en-AU"/>
                <w14:ligatures w14:val="none"/>
              </w:rPr>
              <w:t> </w:t>
            </w:r>
          </w:p>
        </w:tc>
        <w:tc>
          <w:tcPr>
            <w:tcW w:w="1265" w:type="dxa"/>
            <w:tcBorders>
              <w:right w:val="nil"/>
            </w:tcBorders>
            <w:vAlign w:val="center"/>
          </w:tcPr>
          <w:p w14:paraId="0C57BAA5" w14:textId="1CF9BC58" w:rsidR="00304E20" w:rsidRPr="009C168D" w:rsidRDefault="00EC0B31" w:rsidP="00B318DB">
            <w:pPr>
              <w:pStyle w:val="ARDotpoints"/>
              <w:numPr>
                <w:ilvl w:val="0"/>
                <w:numId w:val="0"/>
              </w:numPr>
              <w:jc w:val="center"/>
              <w:rPr>
                <w:rFonts w:eastAsia="Times New Roman" w:cs="Times New Roman"/>
                <w:kern w:val="0"/>
                <w:lang w:eastAsia="en-AU"/>
                <w14:ligatures w14:val="none"/>
              </w:rPr>
            </w:pPr>
            <w:r>
              <w:rPr>
                <w:rFonts w:eastAsia="Times New Roman" w:cs="Times New Roman"/>
                <w:kern w:val="0"/>
                <w:lang w:eastAsia="en-AU"/>
                <w14:ligatures w14:val="none"/>
              </w:rPr>
              <w:t>$0.00</w:t>
            </w:r>
          </w:p>
        </w:tc>
      </w:tr>
      <w:tr w:rsidR="000A33E1" w:rsidRPr="00DD1045" w14:paraId="184604B6" w14:textId="268EABD3" w:rsidTr="00601C12">
        <w:trPr>
          <w:trHeight w:val="91"/>
        </w:trPr>
        <w:tc>
          <w:tcPr>
            <w:tcW w:w="2415" w:type="dxa"/>
            <w:tcBorders>
              <w:left w:val="nil"/>
            </w:tcBorders>
            <w:vAlign w:val="center"/>
          </w:tcPr>
          <w:p w14:paraId="7748167E" w14:textId="35821EEA" w:rsidR="00304E20" w:rsidRPr="002B431B" w:rsidRDefault="00304E20" w:rsidP="00B318DB">
            <w:pPr>
              <w:pStyle w:val="ARDotpoints"/>
              <w:numPr>
                <w:ilvl w:val="0"/>
                <w:numId w:val="0"/>
              </w:numPr>
              <w:rPr>
                <w:rFonts w:ascii="Source Sans Pro SemiBold" w:hAnsi="Source Sans Pro SemiBold"/>
              </w:rPr>
            </w:pPr>
            <w:r w:rsidRPr="002B431B">
              <w:rPr>
                <w:rFonts w:ascii="Source Sans Pro SemiBold" w:hAnsi="Source Sans Pro SemiBold"/>
              </w:rPr>
              <w:t>Sarah Morris, Risk and Audit Committee Chair </w:t>
            </w:r>
          </w:p>
          <w:p w14:paraId="4BF55D03" w14:textId="0F5599C4" w:rsidR="00304E20" w:rsidRPr="00DD1045" w:rsidRDefault="00304E20" w:rsidP="3DFEC42B">
            <w:pPr>
              <w:pStyle w:val="ARDotpoints"/>
              <w:numPr>
                <w:ilvl w:val="0"/>
                <w:numId w:val="0"/>
              </w:numPr>
              <w:rPr>
                <w:rFonts w:eastAsia="Times New Roman" w:cs="Times New Roman"/>
                <w:lang w:eastAsia="en-AU"/>
              </w:rPr>
            </w:pPr>
            <w:r w:rsidRPr="008A4A66">
              <w:rPr>
                <w:rFonts w:eastAsia="Times New Roman" w:cs="Times New Roman"/>
                <w:sz w:val="16"/>
                <w:szCs w:val="16"/>
                <w:lang w:eastAsia="en-AU"/>
              </w:rPr>
              <w:t>Board member</w:t>
            </w:r>
          </w:p>
        </w:tc>
        <w:tc>
          <w:tcPr>
            <w:tcW w:w="1418" w:type="dxa"/>
            <w:vAlign w:val="center"/>
          </w:tcPr>
          <w:p w14:paraId="1EFE1FD2" w14:textId="2EB883B4" w:rsidR="00304E20" w:rsidRPr="00DD1045" w:rsidRDefault="00304E20" w:rsidP="000A23CC">
            <w:pPr>
              <w:pStyle w:val="ARDotpoints"/>
              <w:numPr>
                <w:ilvl w:val="0"/>
                <w:numId w:val="0"/>
              </w:numPr>
              <w:jc w:val="center"/>
            </w:pPr>
            <w:r w:rsidRPr="009C168D">
              <w:rPr>
                <w:rFonts w:eastAsia="Times New Roman" w:cs="Times New Roman"/>
                <w:kern w:val="0"/>
                <w:lang w:eastAsia="en-AU"/>
                <w14:ligatures w14:val="none"/>
              </w:rPr>
              <w:t>16/02/2018 – 30/06/2026</w:t>
            </w:r>
          </w:p>
        </w:tc>
        <w:tc>
          <w:tcPr>
            <w:tcW w:w="1417" w:type="dxa"/>
            <w:vAlign w:val="center"/>
          </w:tcPr>
          <w:p w14:paraId="16178C11" w14:textId="428DB5AF" w:rsidR="00304E20" w:rsidRPr="00DD1045" w:rsidRDefault="00361330" w:rsidP="000A23CC">
            <w:pPr>
              <w:pStyle w:val="ARDotpoints"/>
              <w:numPr>
                <w:ilvl w:val="0"/>
                <w:numId w:val="0"/>
              </w:numPr>
              <w:jc w:val="center"/>
            </w:pPr>
            <w:r>
              <w:rPr>
                <w:rFonts w:eastAsia="Times New Roman" w:cs="Times New Roman"/>
                <w:kern w:val="0"/>
                <w:lang w:eastAsia="en-AU"/>
                <w14:ligatures w14:val="none"/>
              </w:rPr>
              <w:t>9</w:t>
            </w:r>
            <w:r w:rsidR="00304E20" w:rsidRPr="009C168D">
              <w:rPr>
                <w:rFonts w:eastAsia="Times New Roman" w:cs="Times New Roman"/>
                <w:kern w:val="0"/>
                <w:lang w:eastAsia="en-AU"/>
                <w14:ligatures w14:val="none"/>
              </w:rPr>
              <w:t>/9</w:t>
            </w:r>
          </w:p>
        </w:tc>
        <w:tc>
          <w:tcPr>
            <w:tcW w:w="1559" w:type="dxa"/>
            <w:vAlign w:val="center"/>
          </w:tcPr>
          <w:p w14:paraId="20651450" w14:textId="6346FA60" w:rsidR="00304E20" w:rsidRPr="0019616F" w:rsidRDefault="00304E20" w:rsidP="00B318DB">
            <w:pPr>
              <w:pStyle w:val="ARDotpoints"/>
              <w:numPr>
                <w:ilvl w:val="0"/>
                <w:numId w:val="0"/>
              </w:numPr>
              <w:jc w:val="center"/>
            </w:pPr>
            <w:r w:rsidRPr="009C168D">
              <w:rPr>
                <w:rFonts w:eastAsia="Times New Roman" w:cs="Times New Roman"/>
                <w:kern w:val="0"/>
                <w:lang w:eastAsia="en-AU"/>
                <w14:ligatures w14:val="none"/>
              </w:rPr>
              <w:t>4/4</w:t>
            </w:r>
          </w:p>
        </w:tc>
        <w:tc>
          <w:tcPr>
            <w:tcW w:w="1560" w:type="dxa"/>
            <w:vAlign w:val="center"/>
          </w:tcPr>
          <w:p w14:paraId="60C8F403" w14:textId="6A66DF66" w:rsidR="00304E20" w:rsidRPr="0071543B" w:rsidRDefault="00304E20" w:rsidP="00B318DB">
            <w:pPr>
              <w:pStyle w:val="ARDotpoints"/>
              <w:numPr>
                <w:ilvl w:val="0"/>
                <w:numId w:val="0"/>
              </w:numPr>
              <w:jc w:val="center"/>
              <w:rPr>
                <w:rFonts w:eastAsia="Times New Roman" w:cs="Times New Roman"/>
                <w:lang w:eastAsia="en-AU"/>
              </w:rPr>
            </w:pPr>
            <w:r w:rsidRPr="009C168D">
              <w:rPr>
                <w:rFonts w:eastAsia="Times New Roman" w:cs="Times New Roman"/>
                <w:kern w:val="0"/>
                <w:lang w:eastAsia="en-AU"/>
                <w14:ligatures w14:val="none"/>
              </w:rPr>
              <w:t>0/</w:t>
            </w:r>
            <w:r w:rsidR="18BF1EC9" w:rsidRPr="009C168D">
              <w:rPr>
                <w:rFonts w:eastAsia="Times New Roman" w:cs="Times New Roman"/>
                <w:kern w:val="0"/>
                <w:lang w:eastAsia="en-AU"/>
                <w14:ligatures w14:val="none"/>
              </w:rPr>
              <w:t>0</w:t>
            </w:r>
          </w:p>
        </w:tc>
        <w:tc>
          <w:tcPr>
            <w:tcW w:w="1265" w:type="dxa"/>
            <w:tcBorders>
              <w:right w:val="nil"/>
            </w:tcBorders>
            <w:vAlign w:val="center"/>
          </w:tcPr>
          <w:p w14:paraId="4A62965E" w14:textId="0DB18E01" w:rsidR="00304E20" w:rsidRPr="009C168D" w:rsidRDefault="00BA190E" w:rsidP="00B318DB">
            <w:pPr>
              <w:pStyle w:val="ARDotpoints"/>
              <w:numPr>
                <w:ilvl w:val="0"/>
                <w:numId w:val="0"/>
              </w:numPr>
              <w:jc w:val="center"/>
              <w:rPr>
                <w:rFonts w:eastAsia="Times New Roman" w:cs="Times New Roman"/>
                <w:kern w:val="0"/>
                <w:lang w:eastAsia="en-AU"/>
                <w14:ligatures w14:val="none"/>
              </w:rPr>
            </w:pPr>
            <w:r>
              <w:rPr>
                <w:rFonts w:eastAsia="Times New Roman" w:cs="Times New Roman"/>
                <w:kern w:val="0"/>
                <w:lang w:eastAsia="en-AU"/>
                <w14:ligatures w14:val="none"/>
              </w:rPr>
              <w:t>$123.00</w:t>
            </w:r>
          </w:p>
        </w:tc>
      </w:tr>
      <w:tr w:rsidR="000A33E1" w:rsidRPr="00DD1045" w14:paraId="5B6D06B1" w14:textId="63D5EE05" w:rsidTr="00601C12">
        <w:trPr>
          <w:trHeight w:val="91"/>
        </w:trPr>
        <w:tc>
          <w:tcPr>
            <w:tcW w:w="2415" w:type="dxa"/>
            <w:tcBorders>
              <w:left w:val="nil"/>
            </w:tcBorders>
            <w:vAlign w:val="center"/>
          </w:tcPr>
          <w:p w14:paraId="1F161C82" w14:textId="3223F8D4" w:rsidR="00304E20" w:rsidRPr="002B431B" w:rsidRDefault="00304E20" w:rsidP="00B318DB">
            <w:pPr>
              <w:pStyle w:val="ARDotpoints"/>
              <w:numPr>
                <w:ilvl w:val="0"/>
                <w:numId w:val="0"/>
              </w:numPr>
              <w:rPr>
                <w:rFonts w:ascii="Source Sans Pro SemiBold" w:hAnsi="Source Sans Pro SemiBold"/>
              </w:rPr>
            </w:pPr>
            <w:r w:rsidRPr="002B431B">
              <w:rPr>
                <w:rFonts w:ascii="Source Sans Pro SemiBold" w:hAnsi="Source Sans Pro SemiBold"/>
              </w:rPr>
              <w:t>Sandra McCullagh, People Committee Chair </w:t>
            </w:r>
          </w:p>
          <w:p w14:paraId="4E64D638" w14:textId="7775DE7B" w:rsidR="00304E20" w:rsidRPr="00DD1045" w:rsidRDefault="00304E20" w:rsidP="3DFEC42B">
            <w:pPr>
              <w:pStyle w:val="ARDotpoints"/>
              <w:numPr>
                <w:ilvl w:val="0"/>
                <w:numId w:val="0"/>
              </w:numPr>
              <w:rPr>
                <w:rFonts w:eastAsia="Times New Roman" w:cs="Times New Roman"/>
                <w:lang w:eastAsia="en-AU"/>
              </w:rPr>
            </w:pPr>
            <w:r w:rsidRPr="008A4A66">
              <w:rPr>
                <w:rFonts w:eastAsia="Times New Roman" w:cs="Times New Roman"/>
                <w:sz w:val="16"/>
                <w:szCs w:val="16"/>
                <w:lang w:eastAsia="en-AU"/>
              </w:rPr>
              <w:t>Board member</w:t>
            </w:r>
          </w:p>
        </w:tc>
        <w:tc>
          <w:tcPr>
            <w:tcW w:w="1418" w:type="dxa"/>
            <w:vAlign w:val="center"/>
          </w:tcPr>
          <w:p w14:paraId="0D7B0CBF" w14:textId="05195AC2" w:rsidR="00304E20" w:rsidRPr="00DD1045" w:rsidRDefault="00304E20" w:rsidP="000A23CC">
            <w:pPr>
              <w:pStyle w:val="ARDotpoints"/>
              <w:numPr>
                <w:ilvl w:val="0"/>
                <w:numId w:val="0"/>
              </w:numPr>
              <w:jc w:val="center"/>
            </w:pPr>
            <w:r w:rsidRPr="009C168D">
              <w:rPr>
                <w:rFonts w:eastAsia="Times New Roman" w:cs="Times New Roman"/>
                <w:kern w:val="0"/>
                <w:lang w:eastAsia="en-AU"/>
                <w14:ligatures w14:val="none"/>
              </w:rPr>
              <w:t>01/09/2022– 30/06/2026</w:t>
            </w:r>
          </w:p>
        </w:tc>
        <w:tc>
          <w:tcPr>
            <w:tcW w:w="1417" w:type="dxa"/>
            <w:vAlign w:val="center"/>
          </w:tcPr>
          <w:p w14:paraId="44A4AC2A" w14:textId="22FE4313" w:rsidR="00304E20" w:rsidRPr="00DD1045" w:rsidRDefault="00782939" w:rsidP="000A23CC">
            <w:pPr>
              <w:pStyle w:val="ARDotpoints"/>
              <w:numPr>
                <w:ilvl w:val="0"/>
                <w:numId w:val="0"/>
              </w:numPr>
              <w:jc w:val="center"/>
            </w:pPr>
            <w:r>
              <w:rPr>
                <w:rFonts w:eastAsia="Times New Roman" w:cs="Times New Roman"/>
                <w:kern w:val="0"/>
                <w:lang w:eastAsia="en-AU"/>
                <w14:ligatures w14:val="none"/>
              </w:rPr>
              <w:t>8</w:t>
            </w:r>
            <w:r w:rsidR="00304E20" w:rsidRPr="009C168D">
              <w:rPr>
                <w:rFonts w:eastAsia="Times New Roman" w:cs="Times New Roman"/>
                <w:kern w:val="0"/>
                <w:lang w:eastAsia="en-AU"/>
                <w14:ligatures w14:val="none"/>
              </w:rPr>
              <w:t>/9</w:t>
            </w:r>
          </w:p>
        </w:tc>
        <w:tc>
          <w:tcPr>
            <w:tcW w:w="1559" w:type="dxa"/>
            <w:vAlign w:val="center"/>
          </w:tcPr>
          <w:p w14:paraId="7C6DAA9C" w14:textId="166B3A53" w:rsidR="00304E20" w:rsidRPr="003E2A0A" w:rsidRDefault="009218A0" w:rsidP="00B318DB">
            <w:pPr>
              <w:pStyle w:val="ARDotpoints"/>
              <w:numPr>
                <w:ilvl w:val="0"/>
                <w:numId w:val="0"/>
              </w:numPr>
              <w:jc w:val="center"/>
              <w:rPr>
                <w:rFonts w:eastAsia="Times New Roman" w:cs="Times New Roman"/>
                <w:lang w:eastAsia="en-AU"/>
              </w:rPr>
            </w:pPr>
            <w:r w:rsidRPr="003E2A0A">
              <w:rPr>
                <w:rFonts w:eastAsia="Times New Roman" w:cs="Times New Roman"/>
                <w:kern w:val="0"/>
                <w:lang w:eastAsia="en-AU"/>
                <w14:ligatures w14:val="none"/>
              </w:rPr>
              <w:t>1</w:t>
            </w:r>
            <w:r w:rsidR="00304E20" w:rsidRPr="003E2A0A">
              <w:rPr>
                <w:rFonts w:eastAsia="Times New Roman" w:cs="Times New Roman"/>
                <w:kern w:val="0"/>
                <w:lang w:eastAsia="en-AU"/>
                <w14:ligatures w14:val="none"/>
              </w:rPr>
              <w:t>/</w:t>
            </w:r>
            <w:r w:rsidR="625BFB1C" w:rsidRPr="7DCE48D3">
              <w:rPr>
                <w:rFonts w:eastAsia="Times New Roman" w:cs="Times New Roman"/>
                <w:kern w:val="0"/>
                <w:lang w:eastAsia="en-AU"/>
                <w14:ligatures w14:val="none"/>
              </w:rPr>
              <w:t>1</w:t>
            </w:r>
            <w:r w:rsidR="00304E20" w:rsidRPr="009C168D">
              <w:rPr>
                <w:rFonts w:eastAsia="Times New Roman" w:cs="Times New Roman"/>
                <w:kern w:val="0"/>
                <w:lang w:eastAsia="en-AU"/>
                <w14:ligatures w14:val="none"/>
              </w:rPr>
              <w:t> </w:t>
            </w:r>
          </w:p>
        </w:tc>
        <w:tc>
          <w:tcPr>
            <w:tcW w:w="1560" w:type="dxa"/>
            <w:vAlign w:val="center"/>
          </w:tcPr>
          <w:p w14:paraId="16371D55" w14:textId="690E774A" w:rsidR="00304E20" w:rsidRPr="0071543B" w:rsidRDefault="00304E20" w:rsidP="00B318DB">
            <w:pPr>
              <w:pStyle w:val="ARDotpoints"/>
              <w:numPr>
                <w:ilvl w:val="0"/>
                <w:numId w:val="0"/>
              </w:numPr>
              <w:jc w:val="center"/>
              <w:rPr>
                <w:highlight w:val="yellow"/>
              </w:rPr>
            </w:pPr>
            <w:r w:rsidRPr="009C168D">
              <w:rPr>
                <w:rFonts w:eastAsia="Times New Roman" w:cs="Times New Roman"/>
                <w:kern w:val="0"/>
                <w:lang w:eastAsia="en-AU"/>
                <w14:ligatures w14:val="none"/>
              </w:rPr>
              <w:t>4/4 </w:t>
            </w:r>
          </w:p>
        </w:tc>
        <w:tc>
          <w:tcPr>
            <w:tcW w:w="1265" w:type="dxa"/>
            <w:tcBorders>
              <w:right w:val="nil"/>
            </w:tcBorders>
            <w:vAlign w:val="center"/>
          </w:tcPr>
          <w:p w14:paraId="21191008" w14:textId="12650C76" w:rsidR="00304E20" w:rsidRPr="009C168D" w:rsidRDefault="00EC0B31" w:rsidP="00B318DB">
            <w:pPr>
              <w:pStyle w:val="ARDotpoints"/>
              <w:numPr>
                <w:ilvl w:val="0"/>
                <w:numId w:val="0"/>
              </w:numPr>
              <w:jc w:val="center"/>
              <w:rPr>
                <w:rFonts w:eastAsia="Times New Roman" w:cs="Times New Roman"/>
                <w:kern w:val="0"/>
                <w:lang w:eastAsia="en-AU"/>
                <w14:ligatures w14:val="none"/>
              </w:rPr>
            </w:pPr>
            <w:r>
              <w:rPr>
                <w:rFonts w:eastAsia="Times New Roman" w:cs="Times New Roman"/>
                <w:kern w:val="0"/>
                <w:lang w:eastAsia="en-AU"/>
                <w14:ligatures w14:val="none"/>
              </w:rPr>
              <w:t>$404.78</w:t>
            </w:r>
          </w:p>
        </w:tc>
      </w:tr>
      <w:tr w:rsidR="000A33E1" w:rsidRPr="00DD1045" w14:paraId="5B49F240" w14:textId="67DB5AE5" w:rsidTr="00601C12">
        <w:trPr>
          <w:trHeight w:val="91"/>
        </w:trPr>
        <w:tc>
          <w:tcPr>
            <w:tcW w:w="2415" w:type="dxa"/>
            <w:tcBorders>
              <w:left w:val="nil"/>
            </w:tcBorders>
            <w:vAlign w:val="center"/>
          </w:tcPr>
          <w:p w14:paraId="287021E2" w14:textId="55B42FCD" w:rsidR="00304E20" w:rsidRPr="002B431B" w:rsidRDefault="00304E20" w:rsidP="00B318DB">
            <w:pPr>
              <w:pStyle w:val="ARDotpoints"/>
              <w:numPr>
                <w:ilvl w:val="0"/>
                <w:numId w:val="0"/>
              </w:numPr>
              <w:rPr>
                <w:rFonts w:ascii="Source Sans Pro SemiBold" w:hAnsi="Source Sans Pro SemiBold"/>
              </w:rPr>
            </w:pPr>
            <w:r w:rsidRPr="002B431B">
              <w:rPr>
                <w:rFonts w:ascii="Source Sans Pro SemiBold" w:hAnsi="Source Sans Pro SemiBold"/>
              </w:rPr>
              <w:t>Judy Bertram </w:t>
            </w:r>
          </w:p>
          <w:p w14:paraId="196EDF4E" w14:textId="5B2191D3" w:rsidR="00304E20" w:rsidRPr="00DD1045" w:rsidRDefault="00304E20" w:rsidP="3DFEC42B">
            <w:pPr>
              <w:pStyle w:val="ARDotpoints"/>
              <w:numPr>
                <w:ilvl w:val="0"/>
                <w:numId w:val="0"/>
              </w:numPr>
              <w:rPr>
                <w:rFonts w:eastAsia="Times New Roman" w:cs="Times New Roman"/>
                <w:lang w:eastAsia="en-AU"/>
              </w:rPr>
            </w:pPr>
            <w:r w:rsidRPr="008A4A66">
              <w:rPr>
                <w:rFonts w:eastAsia="Times New Roman" w:cs="Times New Roman"/>
                <w:sz w:val="16"/>
                <w:szCs w:val="16"/>
                <w:lang w:eastAsia="en-AU"/>
              </w:rPr>
              <w:t>Board member</w:t>
            </w:r>
            <w:r w:rsidR="002B431B" w:rsidRPr="008A4A66">
              <w:rPr>
                <w:rFonts w:eastAsia="Times New Roman" w:cs="Times New Roman"/>
                <w:sz w:val="16"/>
                <w:szCs w:val="16"/>
                <w:lang w:eastAsia="en-AU"/>
              </w:rPr>
              <w:br/>
            </w:r>
            <w:r w:rsidRPr="008A4A66">
              <w:rPr>
                <w:rFonts w:eastAsia="Times New Roman" w:cs="Times New Roman"/>
                <w:sz w:val="16"/>
                <w:szCs w:val="16"/>
                <w:lang w:eastAsia="en-AU"/>
              </w:rPr>
              <w:t>People Committee member</w:t>
            </w:r>
          </w:p>
        </w:tc>
        <w:tc>
          <w:tcPr>
            <w:tcW w:w="1418" w:type="dxa"/>
            <w:vAlign w:val="center"/>
          </w:tcPr>
          <w:p w14:paraId="4D7960AB" w14:textId="0AE45E18" w:rsidR="00304E20" w:rsidRPr="00DD1045" w:rsidRDefault="00304E20" w:rsidP="000A23CC">
            <w:pPr>
              <w:pStyle w:val="ARDotpoints"/>
              <w:numPr>
                <w:ilvl w:val="0"/>
                <w:numId w:val="0"/>
              </w:numPr>
              <w:jc w:val="center"/>
            </w:pPr>
            <w:r w:rsidRPr="009C168D">
              <w:rPr>
                <w:rFonts w:eastAsia="Times New Roman" w:cs="Times New Roman"/>
                <w:kern w:val="0"/>
                <w:lang w:eastAsia="en-AU"/>
                <w14:ligatures w14:val="none"/>
              </w:rPr>
              <w:t>01/07/2020– 30/06/2026</w:t>
            </w:r>
          </w:p>
        </w:tc>
        <w:tc>
          <w:tcPr>
            <w:tcW w:w="1417" w:type="dxa"/>
            <w:vAlign w:val="center"/>
          </w:tcPr>
          <w:p w14:paraId="447E55D7" w14:textId="044357F8" w:rsidR="00304E20" w:rsidRPr="00DD1045" w:rsidRDefault="00782939" w:rsidP="000A23CC">
            <w:pPr>
              <w:pStyle w:val="ARDotpoints"/>
              <w:numPr>
                <w:ilvl w:val="0"/>
                <w:numId w:val="0"/>
              </w:numPr>
              <w:jc w:val="center"/>
            </w:pPr>
            <w:r>
              <w:rPr>
                <w:rFonts w:eastAsia="Times New Roman" w:cs="Times New Roman"/>
                <w:kern w:val="0"/>
                <w:lang w:eastAsia="en-AU"/>
                <w14:ligatures w14:val="none"/>
              </w:rPr>
              <w:t>8</w:t>
            </w:r>
            <w:r w:rsidR="00304E20" w:rsidRPr="009C168D">
              <w:rPr>
                <w:rFonts w:eastAsia="Times New Roman" w:cs="Times New Roman"/>
                <w:kern w:val="0"/>
                <w:lang w:eastAsia="en-AU"/>
                <w14:ligatures w14:val="none"/>
              </w:rPr>
              <w:t>/9</w:t>
            </w:r>
          </w:p>
        </w:tc>
        <w:tc>
          <w:tcPr>
            <w:tcW w:w="1559" w:type="dxa"/>
            <w:vAlign w:val="center"/>
          </w:tcPr>
          <w:p w14:paraId="3DAFEB27" w14:textId="516EA7F1" w:rsidR="00304E20" w:rsidRPr="0019616F" w:rsidRDefault="00556BD7" w:rsidP="00B318DB">
            <w:pPr>
              <w:pStyle w:val="ARDotpoints"/>
              <w:numPr>
                <w:ilvl w:val="0"/>
                <w:numId w:val="0"/>
              </w:numPr>
              <w:jc w:val="center"/>
            </w:pPr>
            <w:r>
              <w:rPr>
                <w:rFonts w:eastAsia="Times New Roman" w:cs="Times New Roman"/>
                <w:kern w:val="0"/>
                <w:lang w:eastAsia="en-AU"/>
                <w14:ligatures w14:val="none"/>
              </w:rPr>
              <w:t>0</w:t>
            </w:r>
            <w:r w:rsidR="00304E20" w:rsidRPr="009C168D">
              <w:rPr>
                <w:rFonts w:eastAsia="Times New Roman" w:cs="Times New Roman"/>
                <w:kern w:val="0"/>
                <w:lang w:eastAsia="en-AU"/>
                <w14:ligatures w14:val="none"/>
              </w:rPr>
              <w:t>/</w:t>
            </w:r>
            <w:r w:rsidR="5550B7D3" w:rsidRPr="009C168D">
              <w:rPr>
                <w:rFonts w:eastAsia="Times New Roman" w:cs="Times New Roman"/>
                <w:kern w:val="0"/>
                <w:lang w:eastAsia="en-AU"/>
                <w14:ligatures w14:val="none"/>
              </w:rPr>
              <w:t>0</w:t>
            </w:r>
          </w:p>
        </w:tc>
        <w:tc>
          <w:tcPr>
            <w:tcW w:w="1560" w:type="dxa"/>
            <w:vAlign w:val="center"/>
          </w:tcPr>
          <w:p w14:paraId="20DD0D0A" w14:textId="0F00678E" w:rsidR="00304E20" w:rsidRPr="0071543B" w:rsidRDefault="00304E20" w:rsidP="00B318DB">
            <w:pPr>
              <w:pStyle w:val="ARDotpoints"/>
              <w:numPr>
                <w:ilvl w:val="0"/>
                <w:numId w:val="0"/>
              </w:numPr>
              <w:jc w:val="center"/>
              <w:rPr>
                <w:highlight w:val="yellow"/>
              </w:rPr>
            </w:pPr>
            <w:r w:rsidRPr="009C168D">
              <w:rPr>
                <w:rFonts w:eastAsia="Times New Roman" w:cs="Times New Roman"/>
                <w:kern w:val="0"/>
                <w:lang w:eastAsia="en-AU"/>
                <w14:ligatures w14:val="none"/>
              </w:rPr>
              <w:t>3/</w:t>
            </w:r>
            <w:r w:rsidR="00E62980">
              <w:rPr>
                <w:rFonts w:eastAsia="Times New Roman" w:cs="Times New Roman"/>
                <w:kern w:val="0"/>
                <w:lang w:eastAsia="en-AU"/>
                <w14:ligatures w14:val="none"/>
              </w:rPr>
              <w:t>4</w:t>
            </w:r>
            <w:r w:rsidRPr="009C168D">
              <w:rPr>
                <w:rFonts w:eastAsia="Times New Roman" w:cs="Times New Roman"/>
                <w:kern w:val="0"/>
                <w:lang w:eastAsia="en-AU"/>
                <w14:ligatures w14:val="none"/>
              </w:rPr>
              <w:t> </w:t>
            </w:r>
          </w:p>
        </w:tc>
        <w:tc>
          <w:tcPr>
            <w:tcW w:w="1265" w:type="dxa"/>
            <w:tcBorders>
              <w:right w:val="nil"/>
            </w:tcBorders>
            <w:vAlign w:val="center"/>
          </w:tcPr>
          <w:p w14:paraId="653AE3C6" w14:textId="4564CC0D" w:rsidR="00304E20" w:rsidRPr="009C168D" w:rsidRDefault="00BA190E" w:rsidP="00B318DB">
            <w:pPr>
              <w:pStyle w:val="ARDotpoints"/>
              <w:numPr>
                <w:ilvl w:val="0"/>
                <w:numId w:val="0"/>
              </w:numPr>
              <w:jc w:val="center"/>
              <w:rPr>
                <w:rFonts w:eastAsia="Times New Roman" w:cs="Times New Roman"/>
                <w:kern w:val="0"/>
                <w:lang w:eastAsia="en-AU"/>
                <w14:ligatures w14:val="none"/>
              </w:rPr>
            </w:pPr>
            <w:r>
              <w:rPr>
                <w:rFonts w:eastAsia="Times New Roman" w:cs="Times New Roman"/>
                <w:kern w:val="0"/>
                <w:lang w:eastAsia="en-AU"/>
                <w14:ligatures w14:val="none"/>
              </w:rPr>
              <w:t>$176.32</w:t>
            </w:r>
          </w:p>
        </w:tc>
      </w:tr>
      <w:tr w:rsidR="000A33E1" w:rsidRPr="00DD1045" w14:paraId="5AE44A15" w14:textId="036DFF02" w:rsidTr="00601C12">
        <w:trPr>
          <w:trHeight w:val="91"/>
        </w:trPr>
        <w:tc>
          <w:tcPr>
            <w:tcW w:w="2415" w:type="dxa"/>
            <w:tcBorders>
              <w:left w:val="nil"/>
            </w:tcBorders>
            <w:vAlign w:val="center"/>
          </w:tcPr>
          <w:p w14:paraId="6F2F5EB9" w14:textId="1AC9A26D" w:rsidR="00304E20" w:rsidRPr="002B431B" w:rsidRDefault="00304E20" w:rsidP="3DFEC42B">
            <w:pPr>
              <w:pStyle w:val="ARDotpoints"/>
              <w:numPr>
                <w:ilvl w:val="0"/>
                <w:numId w:val="0"/>
              </w:numPr>
              <w:rPr>
                <w:rFonts w:ascii="Source Sans Pro SemiBold" w:hAnsi="Source Sans Pro SemiBold"/>
              </w:rPr>
            </w:pPr>
            <w:r w:rsidRPr="002B431B">
              <w:rPr>
                <w:rFonts w:ascii="Source Sans Pro SemiBold" w:hAnsi="Source Sans Pro SemiBold"/>
              </w:rPr>
              <w:t>Kerriann Dear </w:t>
            </w:r>
          </w:p>
          <w:p w14:paraId="4D0A3D7A" w14:textId="0B9BB976" w:rsidR="00304E20" w:rsidRPr="009C168D" w:rsidRDefault="00304E20" w:rsidP="00B318DB">
            <w:pPr>
              <w:pStyle w:val="ARDotpoints"/>
              <w:numPr>
                <w:ilvl w:val="0"/>
                <w:numId w:val="0"/>
              </w:numPr>
              <w:rPr>
                <w:rFonts w:eastAsia="Times New Roman" w:cs="Times New Roman"/>
                <w:kern w:val="0"/>
                <w:lang w:eastAsia="en-AU"/>
                <w14:ligatures w14:val="none"/>
              </w:rPr>
            </w:pPr>
            <w:r w:rsidRPr="008A4A66">
              <w:rPr>
                <w:rFonts w:eastAsia="Times New Roman" w:cs="Times New Roman"/>
                <w:sz w:val="16"/>
                <w:szCs w:val="16"/>
                <w:lang w:eastAsia="en-AU"/>
              </w:rPr>
              <w:t>Board member</w:t>
            </w:r>
            <w:r w:rsidR="002B431B" w:rsidRPr="008A4A66">
              <w:rPr>
                <w:rFonts w:eastAsia="Times New Roman" w:cs="Times New Roman"/>
                <w:sz w:val="16"/>
                <w:szCs w:val="16"/>
                <w:lang w:eastAsia="en-AU"/>
              </w:rPr>
              <w:br/>
            </w:r>
            <w:r w:rsidRPr="008A4A66">
              <w:rPr>
                <w:rFonts w:eastAsia="Times New Roman" w:cs="Times New Roman"/>
                <w:sz w:val="16"/>
                <w:szCs w:val="16"/>
                <w:lang w:eastAsia="en-AU"/>
              </w:rPr>
              <w:t>Risk and Audit Committee member</w:t>
            </w:r>
          </w:p>
        </w:tc>
        <w:tc>
          <w:tcPr>
            <w:tcW w:w="1418" w:type="dxa"/>
            <w:vAlign w:val="center"/>
          </w:tcPr>
          <w:p w14:paraId="1CE53FC6" w14:textId="21DF5227" w:rsidR="00304E20" w:rsidRPr="00DD1045" w:rsidRDefault="00304E20" w:rsidP="000A23CC">
            <w:pPr>
              <w:pStyle w:val="ARDotpoints"/>
              <w:numPr>
                <w:ilvl w:val="0"/>
                <w:numId w:val="0"/>
              </w:numPr>
              <w:jc w:val="center"/>
            </w:pPr>
            <w:r w:rsidRPr="009C168D">
              <w:rPr>
                <w:rFonts w:eastAsia="Times New Roman" w:cs="Times New Roman"/>
                <w:kern w:val="0"/>
                <w:lang w:eastAsia="en-AU"/>
                <w14:ligatures w14:val="none"/>
              </w:rPr>
              <w:t>01/07/2017– 30/06/2026</w:t>
            </w:r>
          </w:p>
        </w:tc>
        <w:tc>
          <w:tcPr>
            <w:tcW w:w="1417" w:type="dxa"/>
            <w:vAlign w:val="center"/>
          </w:tcPr>
          <w:p w14:paraId="21CC493A" w14:textId="36C6907E" w:rsidR="00304E20" w:rsidRPr="009C168D" w:rsidRDefault="00782939" w:rsidP="000A23CC">
            <w:pPr>
              <w:pStyle w:val="ARDotpoints"/>
              <w:numPr>
                <w:ilvl w:val="0"/>
                <w:numId w:val="0"/>
              </w:numPr>
              <w:jc w:val="center"/>
              <w:rPr>
                <w:rFonts w:eastAsia="Times New Roman" w:cs="Times New Roman"/>
                <w:kern w:val="0"/>
                <w:lang w:eastAsia="en-AU"/>
                <w14:ligatures w14:val="none"/>
              </w:rPr>
            </w:pPr>
            <w:r>
              <w:rPr>
                <w:rFonts w:eastAsia="Times New Roman" w:cs="Times New Roman"/>
                <w:kern w:val="0"/>
                <w:lang w:eastAsia="en-AU"/>
                <w14:ligatures w14:val="none"/>
              </w:rPr>
              <w:t>9</w:t>
            </w:r>
            <w:r w:rsidR="00304E20" w:rsidRPr="009C168D">
              <w:rPr>
                <w:rFonts w:eastAsia="Times New Roman" w:cs="Times New Roman"/>
                <w:kern w:val="0"/>
                <w:lang w:eastAsia="en-AU"/>
                <w14:ligatures w14:val="none"/>
              </w:rPr>
              <w:t>/9</w:t>
            </w:r>
          </w:p>
        </w:tc>
        <w:tc>
          <w:tcPr>
            <w:tcW w:w="1559" w:type="dxa"/>
            <w:vAlign w:val="center"/>
          </w:tcPr>
          <w:p w14:paraId="3521F5AF" w14:textId="1D3BCE9F" w:rsidR="00304E20" w:rsidRPr="0019616F" w:rsidRDefault="00304E20" w:rsidP="00B318DB">
            <w:pPr>
              <w:pStyle w:val="ARDotpoints"/>
              <w:numPr>
                <w:ilvl w:val="0"/>
                <w:numId w:val="0"/>
              </w:numPr>
              <w:jc w:val="center"/>
            </w:pPr>
            <w:r w:rsidRPr="009C168D">
              <w:rPr>
                <w:rFonts w:eastAsia="Times New Roman" w:cs="Times New Roman"/>
                <w:kern w:val="0"/>
                <w:lang w:eastAsia="en-AU"/>
                <w14:ligatures w14:val="none"/>
              </w:rPr>
              <w:t>4/4 </w:t>
            </w:r>
          </w:p>
        </w:tc>
        <w:tc>
          <w:tcPr>
            <w:tcW w:w="1560" w:type="dxa"/>
            <w:vAlign w:val="center"/>
          </w:tcPr>
          <w:p w14:paraId="72DB1C94" w14:textId="1D917473" w:rsidR="00304E20" w:rsidRPr="0071543B" w:rsidRDefault="00304E20" w:rsidP="00B318DB">
            <w:pPr>
              <w:pStyle w:val="ARDotpoints"/>
              <w:numPr>
                <w:ilvl w:val="0"/>
                <w:numId w:val="0"/>
              </w:numPr>
              <w:jc w:val="center"/>
              <w:rPr>
                <w:highlight w:val="yellow"/>
              </w:rPr>
            </w:pPr>
            <w:r w:rsidRPr="009C168D">
              <w:rPr>
                <w:rFonts w:eastAsia="Times New Roman" w:cs="Times New Roman"/>
                <w:kern w:val="0"/>
                <w:lang w:eastAsia="en-AU"/>
                <w14:ligatures w14:val="none"/>
              </w:rPr>
              <w:t>3/</w:t>
            </w:r>
            <w:r w:rsidR="00F4463E">
              <w:rPr>
                <w:rFonts w:eastAsia="Times New Roman" w:cs="Times New Roman"/>
                <w:kern w:val="0"/>
                <w:lang w:eastAsia="en-AU"/>
                <w14:ligatures w14:val="none"/>
              </w:rPr>
              <w:t>0</w:t>
            </w:r>
            <w:r w:rsidRPr="009C168D">
              <w:rPr>
                <w:rFonts w:eastAsia="Times New Roman" w:cs="Times New Roman"/>
                <w:kern w:val="0"/>
                <w:lang w:eastAsia="en-AU"/>
                <w14:ligatures w14:val="none"/>
              </w:rPr>
              <w:t> </w:t>
            </w:r>
          </w:p>
        </w:tc>
        <w:tc>
          <w:tcPr>
            <w:tcW w:w="1265" w:type="dxa"/>
            <w:tcBorders>
              <w:right w:val="nil"/>
            </w:tcBorders>
            <w:vAlign w:val="center"/>
          </w:tcPr>
          <w:p w14:paraId="2DDCB171" w14:textId="27B5B985" w:rsidR="00304E20" w:rsidRPr="009C168D" w:rsidRDefault="00EC0B31" w:rsidP="00B318DB">
            <w:pPr>
              <w:pStyle w:val="ARDotpoints"/>
              <w:numPr>
                <w:ilvl w:val="0"/>
                <w:numId w:val="0"/>
              </w:numPr>
              <w:jc w:val="center"/>
              <w:rPr>
                <w:rFonts w:eastAsia="Times New Roman" w:cs="Times New Roman"/>
                <w:kern w:val="0"/>
                <w:lang w:eastAsia="en-AU"/>
                <w14:ligatures w14:val="none"/>
              </w:rPr>
            </w:pPr>
            <w:r>
              <w:rPr>
                <w:rFonts w:eastAsia="Times New Roman" w:cs="Times New Roman"/>
                <w:kern w:val="0"/>
                <w:lang w:eastAsia="en-AU"/>
                <w14:ligatures w14:val="none"/>
              </w:rPr>
              <w:t>$0.00</w:t>
            </w:r>
          </w:p>
        </w:tc>
      </w:tr>
      <w:tr w:rsidR="000A33E1" w:rsidRPr="00DD1045" w14:paraId="367AE396" w14:textId="017C9225" w:rsidTr="00601C12">
        <w:trPr>
          <w:trHeight w:val="91"/>
        </w:trPr>
        <w:tc>
          <w:tcPr>
            <w:tcW w:w="2415" w:type="dxa"/>
            <w:tcBorders>
              <w:left w:val="nil"/>
            </w:tcBorders>
            <w:vAlign w:val="center"/>
          </w:tcPr>
          <w:p w14:paraId="36A1ADC4" w14:textId="25C571AE" w:rsidR="00304E20" w:rsidRPr="002B431B" w:rsidRDefault="00304E20" w:rsidP="3DFEC42B">
            <w:pPr>
              <w:pStyle w:val="ARDotpoints"/>
              <w:numPr>
                <w:ilvl w:val="0"/>
                <w:numId w:val="0"/>
              </w:numPr>
              <w:rPr>
                <w:rFonts w:ascii="Source Sans Pro SemiBold" w:hAnsi="Source Sans Pro SemiBold"/>
              </w:rPr>
            </w:pPr>
            <w:r w:rsidRPr="002B431B">
              <w:rPr>
                <w:rFonts w:ascii="Source Sans Pro SemiBold" w:hAnsi="Source Sans Pro SemiBold"/>
              </w:rPr>
              <w:t>Stephen Havas </w:t>
            </w:r>
          </w:p>
          <w:p w14:paraId="2F5A5647" w14:textId="439596BF" w:rsidR="00304E20" w:rsidRPr="009C168D" w:rsidRDefault="00304E20" w:rsidP="00B318DB">
            <w:pPr>
              <w:pStyle w:val="ARDotpoints"/>
              <w:numPr>
                <w:ilvl w:val="0"/>
                <w:numId w:val="0"/>
              </w:numPr>
              <w:rPr>
                <w:rFonts w:eastAsia="Times New Roman" w:cs="Times New Roman"/>
                <w:kern w:val="0"/>
                <w:lang w:eastAsia="en-AU"/>
                <w14:ligatures w14:val="none"/>
              </w:rPr>
            </w:pPr>
            <w:r w:rsidRPr="008A4A66">
              <w:rPr>
                <w:rFonts w:eastAsia="Times New Roman" w:cs="Times New Roman"/>
                <w:sz w:val="16"/>
                <w:szCs w:val="16"/>
                <w:lang w:eastAsia="en-AU"/>
              </w:rPr>
              <w:t>Board member</w:t>
            </w:r>
            <w:r w:rsidR="002B431B" w:rsidRPr="008A4A66">
              <w:rPr>
                <w:rFonts w:eastAsia="Times New Roman" w:cs="Times New Roman"/>
                <w:sz w:val="16"/>
                <w:szCs w:val="16"/>
                <w:lang w:eastAsia="en-AU"/>
              </w:rPr>
              <w:br/>
            </w:r>
            <w:r w:rsidRPr="008A4A66">
              <w:rPr>
                <w:rFonts w:eastAsia="Times New Roman" w:cs="Times New Roman"/>
                <w:sz w:val="16"/>
                <w:szCs w:val="16"/>
                <w:lang w:eastAsia="en-AU"/>
              </w:rPr>
              <w:t>Risk and Audit Committee member</w:t>
            </w:r>
          </w:p>
        </w:tc>
        <w:tc>
          <w:tcPr>
            <w:tcW w:w="1418" w:type="dxa"/>
            <w:vAlign w:val="center"/>
          </w:tcPr>
          <w:p w14:paraId="37AC9C50" w14:textId="58796032" w:rsidR="00304E20" w:rsidRPr="00DD1045" w:rsidRDefault="00304E20" w:rsidP="000A23CC">
            <w:pPr>
              <w:pStyle w:val="ARDotpoints"/>
              <w:numPr>
                <w:ilvl w:val="0"/>
                <w:numId w:val="0"/>
              </w:numPr>
              <w:jc w:val="center"/>
            </w:pPr>
            <w:r w:rsidRPr="009C168D">
              <w:rPr>
                <w:rFonts w:eastAsia="Times New Roman" w:cs="Times New Roman"/>
                <w:kern w:val="0"/>
                <w:lang w:eastAsia="en-AU"/>
                <w14:ligatures w14:val="none"/>
              </w:rPr>
              <w:t>01/07/2023– 30/06/2026</w:t>
            </w:r>
          </w:p>
        </w:tc>
        <w:tc>
          <w:tcPr>
            <w:tcW w:w="1417" w:type="dxa"/>
            <w:vAlign w:val="center"/>
          </w:tcPr>
          <w:p w14:paraId="73F57D94" w14:textId="76CD742A" w:rsidR="00304E20" w:rsidRPr="009C168D" w:rsidRDefault="00782939" w:rsidP="000A23CC">
            <w:pPr>
              <w:pStyle w:val="ARDotpoints"/>
              <w:numPr>
                <w:ilvl w:val="0"/>
                <w:numId w:val="0"/>
              </w:numPr>
              <w:jc w:val="center"/>
              <w:rPr>
                <w:rFonts w:eastAsia="Times New Roman" w:cs="Times New Roman"/>
                <w:kern w:val="0"/>
                <w:lang w:eastAsia="en-AU"/>
                <w14:ligatures w14:val="none"/>
              </w:rPr>
            </w:pPr>
            <w:r>
              <w:rPr>
                <w:rFonts w:eastAsia="Times New Roman" w:cs="Times New Roman"/>
                <w:kern w:val="0"/>
                <w:lang w:eastAsia="en-AU"/>
                <w14:ligatures w14:val="none"/>
              </w:rPr>
              <w:t>8</w:t>
            </w:r>
            <w:r w:rsidR="00304E20" w:rsidRPr="009C168D">
              <w:rPr>
                <w:rFonts w:eastAsia="Times New Roman" w:cs="Times New Roman"/>
                <w:kern w:val="0"/>
                <w:lang w:eastAsia="en-AU"/>
                <w14:ligatures w14:val="none"/>
              </w:rPr>
              <w:t>/9</w:t>
            </w:r>
          </w:p>
        </w:tc>
        <w:tc>
          <w:tcPr>
            <w:tcW w:w="1559" w:type="dxa"/>
            <w:vAlign w:val="center"/>
          </w:tcPr>
          <w:p w14:paraId="2BDF92C6" w14:textId="68ADADAD" w:rsidR="00304E20" w:rsidRPr="0019616F" w:rsidRDefault="7CEAB206" w:rsidP="00B318DB">
            <w:pPr>
              <w:pStyle w:val="ARDotpoints"/>
              <w:numPr>
                <w:ilvl w:val="0"/>
                <w:numId w:val="0"/>
              </w:numPr>
              <w:jc w:val="center"/>
              <w:rPr>
                <w:rFonts w:eastAsia="Times New Roman" w:cs="Times New Roman"/>
                <w:lang w:eastAsia="en-AU"/>
              </w:rPr>
            </w:pPr>
            <w:r w:rsidRPr="009C168D">
              <w:rPr>
                <w:rFonts w:eastAsia="Times New Roman" w:cs="Times New Roman"/>
                <w:kern w:val="0"/>
                <w:lang w:eastAsia="en-AU"/>
                <w14:ligatures w14:val="none"/>
              </w:rPr>
              <w:t>3</w:t>
            </w:r>
            <w:r w:rsidR="00304E20" w:rsidRPr="009C168D">
              <w:rPr>
                <w:rFonts w:eastAsia="Times New Roman" w:cs="Times New Roman"/>
                <w:kern w:val="0"/>
                <w:lang w:eastAsia="en-AU"/>
                <w14:ligatures w14:val="none"/>
              </w:rPr>
              <w:t>/</w:t>
            </w:r>
            <w:r w:rsidR="4AADB2AD" w:rsidRPr="009C168D">
              <w:rPr>
                <w:rFonts w:eastAsia="Times New Roman" w:cs="Times New Roman"/>
                <w:kern w:val="0"/>
                <w:lang w:eastAsia="en-AU"/>
                <w14:ligatures w14:val="none"/>
              </w:rPr>
              <w:t>3</w:t>
            </w:r>
          </w:p>
        </w:tc>
        <w:tc>
          <w:tcPr>
            <w:tcW w:w="1560" w:type="dxa"/>
            <w:vAlign w:val="center"/>
          </w:tcPr>
          <w:p w14:paraId="3B0E8115" w14:textId="2683425B" w:rsidR="00304E20" w:rsidRPr="0071543B" w:rsidRDefault="00556BD7" w:rsidP="00B318DB">
            <w:pPr>
              <w:pStyle w:val="ARDotpoints"/>
              <w:numPr>
                <w:ilvl w:val="0"/>
                <w:numId w:val="0"/>
              </w:numPr>
              <w:jc w:val="center"/>
              <w:rPr>
                <w:highlight w:val="yellow"/>
              </w:rPr>
            </w:pPr>
            <w:r>
              <w:rPr>
                <w:rFonts w:eastAsia="Times New Roman" w:cs="Times New Roman"/>
                <w:kern w:val="0"/>
                <w:lang w:eastAsia="en-AU"/>
                <w14:ligatures w14:val="none"/>
              </w:rPr>
              <w:t>0</w:t>
            </w:r>
            <w:r w:rsidR="00304E20" w:rsidRPr="009C168D">
              <w:rPr>
                <w:rFonts w:eastAsia="Times New Roman" w:cs="Times New Roman"/>
                <w:kern w:val="0"/>
                <w:lang w:eastAsia="en-AU"/>
                <w14:ligatures w14:val="none"/>
              </w:rPr>
              <w:t>/</w:t>
            </w:r>
            <w:r w:rsidR="1C721D95" w:rsidRPr="009C168D">
              <w:rPr>
                <w:rFonts w:eastAsia="Times New Roman" w:cs="Times New Roman"/>
                <w:kern w:val="0"/>
                <w:lang w:eastAsia="en-AU"/>
                <w14:ligatures w14:val="none"/>
              </w:rPr>
              <w:t>0</w:t>
            </w:r>
            <w:r w:rsidR="00304E20" w:rsidRPr="009C168D">
              <w:rPr>
                <w:rFonts w:eastAsia="Times New Roman" w:cs="Times New Roman"/>
                <w:kern w:val="0"/>
                <w:lang w:eastAsia="en-AU"/>
                <w14:ligatures w14:val="none"/>
              </w:rPr>
              <w:t> </w:t>
            </w:r>
          </w:p>
        </w:tc>
        <w:tc>
          <w:tcPr>
            <w:tcW w:w="1265" w:type="dxa"/>
            <w:tcBorders>
              <w:right w:val="nil"/>
            </w:tcBorders>
            <w:vAlign w:val="center"/>
          </w:tcPr>
          <w:p w14:paraId="22FF5043" w14:textId="1D1A7A60" w:rsidR="00304E20" w:rsidRPr="009C168D" w:rsidRDefault="00EC0B31" w:rsidP="00B318DB">
            <w:pPr>
              <w:pStyle w:val="ARDotpoints"/>
              <w:numPr>
                <w:ilvl w:val="0"/>
                <w:numId w:val="0"/>
              </w:numPr>
              <w:jc w:val="center"/>
              <w:rPr>
                <w:rFonts w:eastAsia="Times New Roman" w:cs="Times New Roman"/>
                <w:kern w:val="0"/>
                <w:lang w:eastAsia="en-AU"/>
                <w14:ligatures w14:val="none"/>
              </w:rPr>
            </w:pPr>
            <w:r>
              <w:rPr>
                <w:rFonts w:eastAsia="Times New Roman" w:cs="Times New Roman"/>
                <w:kern w:val="0"/>
                <w:lang w:eastAsia="en-AU"/>
                <w14:ligatures w14:val="none"/>
              </w:rPr>
              <w:t>$0.00</w:t>
            </w:r>
          </w:p>
        </w:tc>
      </w:tr>
      <w:tr w:rsidR="00E17BBA" w:rsidRPr="00DD1045" w14:paraId="73428E6C" w14:textId="58C2303F" w:rsidTr="00E17BBA">
        <w:trPr>
          <w:trHeight w:val="91"/>
        </w:trPr>
        <w:tc>
          <w:tcPr>
            <w:tcW w:w="2415" w:type="dxa"/>
            <w:tcBorders>
              <w:left w:val="nil"/>
              <w:bottom w:val="single" w:sz="8" w:space="0" w:color="E7E6E6" w:themeColor="background2"/>
            </w:tcBorders>
            <w:vAlign w:val="center"/>
          </w:tcPr>
          <w:p w14:paraId="2DBD5FA9" w14:textId="303713FF" w:rsidR="00304E20" w:rsidRPr="002B431B" w:rsidRDefault="00304E20" w:rsidP="3DFEC42B">
            <w:pPr>
              <w:pStyle w:val="ARDotpoints"/>
              <w:numPr>
                <w:ilvl w:val="0"/>
                <w:numId w:val="0"/>
              </w:numPr>
              <w:rPr>
                <w:rFonts w:ascii="Source Sans Pro SemiBold" w:hAnsi="Source Sans Pro SemiBold"/>
              </w:rPr>
            </w:pPr>
            <w:r w:rsidRPr="002B431B">
              <w:rPr>
                <w:rFonts w:ascii="Source Sans Pro SemiBold" w:hAnsi="Source Sans Pro SemiBold"/>
              </w:rPr>
              <w:t>Ian Leavers </w:t>
            </w:r>
          </w:p>
          <w:p w14:paraId="78185EB5" w14:textId="0E566C02" w:rsidR="00304E20" w:rsidRPr="009C168D" w:rsidRDefault="00304E20" w:rsidP="00B318DB">
            <w:pPr>
              <w:pStyle w:val="ARDotpoints"/>
              <w:numPr>
                <w:ilvl w:val="0"/>
                <w:numId w:val="0"/>
              </w:numPr>
              <w:rPr>
                <w:rFonts w:eastAsia="Times New Roman" w:cs="Times New Roman"/>
                <w:kern w:val="0"/>
                <w:lang w:eastAsia="en-AU"/>
                <w14:ligatures w14:val="none"/>
              </w:rPr>
            </w:pPr>
            <w:r w:rsidRPr="008A4A66">
              <w:rPr>
                <w:rFonts w:eastAsia="Times New Roman" w:cs="Times New Roman"/>
                <w:sz w:val="16"/>
                <w:szCs w:val="16"/>
                <w:lang w:eastAsia="en-AU"/>
              </w:rPr>
              <w:t>Board member</w:t>
            </w:r>
            <w:r w:rsidR="002B431B" w:rsidRPr="008A4A66">
              <w:rPr>
                <w:rFonts w:eastAsia="Times New Roman" w:cs="Times New Roman"/>
                <w:sz w:val="16"/>
                <w:szCs w:val="16"/>
                <w:lang w:eastAsia="en-AU"/>
              </w:rPr>
              <w:br/>
            </w:r>
            <w:r w:rsidRPr="008A4A66">
              <w:rPr>
                <w:rFonts w:eastAsia="Times New Roman" w:cs="Times New Roman"/>
                <w:sz w:val="16"/>
                <w:szCs w:val="16"/>
                <w:lang w:eastAsia="en-AU"/>
              </w:rPr>
              <w:t>People Committee member</w:t>
            </w:r>
          </w:p>
        </w:tc>
        <w:tc>
          <w:tcPr>
            <w:tcW w:w="1418" w:type="dxa"/>
            <w:tcBorders>
              <w:bottom w:val="single" w:sz="8" w:space="0" w:color="E7E6E6" w:themeColor="background2"/>
            </w:tcBorders>
            <w:vAlign w:val="center"/>
          </w:tcPr>
          <w:p w14:paraId="59F63D7D" w14:textId="2D8FE34A" w:rsidR="00304E20" w:rsidRPr="00DD1045" w:rsidRDefault="00304E20" w:rsidP="000A23CC">
            <w:pPr>
              <w:pStyle w:val="ARDotpoints"/>
              <w:numPr>
                <w:ilvl w:val="0"/>
                <w:numId w:val="0"/>
              </w:numPr>
              <w:jc w:val="center"/>
            </w:pPr>
            <w:r w:rsidRPr="009C168D">
              <w:rPr>
                <w:rFonts w:eastAsia="Times New Roman" w:cs="Times New Roman"/>
                <w:kern w:val="0"/>
                <w:lang w:eastAsia="en-AU"/>
                <w14:ligatures w14:val="none"/>
              </w:rPr>
              <w:t>01/07/2012– 30/06/2026</w:t>
            </w:r>
          </w:p>
        </w:tc>
        <w:tc>
          <w:tcPr>
            <w:tcW w:w="1417" w:type="dxa"/>
            <w:tcBorders>
              <w:bottom w:val="single" w:sz="8" w:space="0" w:color="E7E6E6" w:themeColor="background2"/>
            </w:tcBorders>
            <w:vAlign w:val="center"/>
          </w:tcPr>
          <w:p w14:paraId="56A1C870" w14:textId="6A1956E1" w:rsidR="00304E20" w:rsidRPr="009C168D" w:rsidRDefault="00782939" w:rsidP="000A23CC">
            <w:pPr>
              <w:pStyle w:val="ARDotpoints"/>
              <w:numPr>
                <w:ilvl w:val="0"/>
                <w:numId w:val="0"/>
              </w:numPr>
              <w:jc w:val="center"/>
              <w:rPr>
                <w:rFonts w:eastAsia="Times New Roman" w:cs="Times New Roman"/>
                <w:kern w:val="0"/>
                <w:lang w:eastAsia="en-AU"/>
                <w14:ligatures w14:val="none"/>
              </w:rPr>
            </w:pPr>
            <w:r>
              <w:rPr>
                <w:rFonts w:eastAsia="Times New Roman" w:cs="Times New Roman"/>
                <w:kern w:val="0"/>
                <w:lang w:eastAsia="en-AU"/>
                <w14:ligatures w14:val="none"/>
              </w:rPr>
              <w:t>8</w:t>
            </w:r>
            <w:r w:rsidR="00304E20" w:rsidRPr="009C168D">
              <w:rPr>
                <w:rFonts w:eastAsia="Times New Roman" w:cs="Times New Roman"/>
                <w:kern w:val="0"/>
                <w:lang w:eastAsia="en-AU"/>
                <w14:ligatures w14:val="none"/>
              </w:rPr>
              <w:t>/9</w:t>
            </w:r>
          </w:p>
        </w:tc>
        <w:tc>
          <w:tcPr>
            <w:tcW w:w="1559" w:type="dxa"/>
            <w:tcBorders>
              <w:bottom w:val="single" w:sz="8" w:space="0" w:color="E7E6E6" w:themeColor="background2"/>
            </w:tcBorders>
            <w:vAlign w:val="center"/>
          </w:tcPr>
          <w:p w14:paraId="17935D56" w14:textId="743A4E92" w:rsidR="00304E20" w:rsidRPr="0019616F" w:rsidRDefault="00556BD7" w:rsidP="00B318DB">
            <w:pPr>
              <w:pStyle w:val="ARDotpoints"/>
              <w:numPr>
                <w:ilvl w:val="0"/>
                <w:numId w:val="0"/>
              </w:numPr>
              <w:jc w:val="center"/>
            </w:pPr>
            <w:r>
              <w:rPr>
                <w:rFonts w:eastAsia="Times New Roman" w:cs="Times New Roman"/>
                <w:kern w:val="0"/>
                <w:lang w:eastAsia="en-AU"/>
                <w14:ligatures w14:val="none"/>
              </w:rPr>
              <w:t>0/</w:t>
            </w:r>
            <w:r w:rsidR="15B57405" w:rsidRPr="009C168D">
              <w:rPr>
                <w:rFonts w:eastAsia="Times New Roman" w:cs="Times New Roman"/>
                <w:kern w:val="0"/>
                <w:lang w:eastAsia="en-AU"/>
                <w14:ligatures w14:val="none"/>
              </w:rPr>
              <w:t>0</w:t>
            </w:r>
          </w:p>
        </w:tc>
        <w:tc>
          <w:tcPr>
            <w:tcW w:w="1560" w:type="dxa"/>
            <w:tcBorders>
              <w:bottom w:val="single" w:sz="8" w:space="0" w:color="E7E6E6" w:themeColor="background2"/>
            </w:tcBorders>
            <w:vAlign w:val="center"/>
          </w:tcPr>
          <w:p w14:paraId="0B706E42" w14:textId="1C58E670" w:rsidR="00304E20" w:rsidRPr="0071543B" w:rsidRDefault="00556BD7" w:rsidP="00B318DB">
            <w:pPr>
              <w:pStyle w:val="ARDotpoints"/>
              <w:numPr>
                <w:ilvl w:val="0"/>
                <w:numId w:val="0"/>
              </w:numPr>
              <w:jc w:val="center"/>
              <w:rPr>
                <w:highlight w:val="yellow"/>
              </w:rPr>
            </w:pPr>
            <w:r>
              <w:rPr>
                <w:rFonts w:eastAsia="Times New Roman" w:cs="Times New Roman"/>
                <w:kern w:val="0"/>
                <w:lang w:eastAsia="en-AU"/>
                <w14:ligatures w14:val="none"/>
              </w:rPr>
              <w:t>2</w:t>
            </w:r>
            <w:r w:rsidR="00304E20" w:rsidRPr="009C168D">
              <w:rPr>
                <w:rFonts w:eastAsia="Times New Roman" w:cs="Times New Roman"/>
                <w:kern w:val="0"/>
                <w:lang w:eastAsia="en-AU"/>
                <w14:ligatures w14:val="none"/>
              </w:rPr>
              <w:t>/4 </w:t>
            </w:r>
          </w:p>
        </w:tc>
        <w:tc>
          <w:tcPr>
            <w:tcW w:w="1265" w:type="dxa"/>
            <w:tcBorders>
              <w:bottom w:val="single" w:sz="8" w:space="0" w:color="E7E6E6" w:themeColor="background2"/>
              <w:right w:val="nil"/>
            </w:tcBorders>
            <w:vAlign w:val="center"/>
          </w:tcPr>
          <w:p w14:paraId="2CC1C405" w14:textId="30D9DD41" w:rsidR="00304E20" w:rsidRPr="009C168D" w:rsidRDefault="00BA190E" w:rsidP="00B318DB">
            <w:pPr>
              <w:pStyle w:val="ARDotpoints"/>
              <w:numPr>
                <w:ilvl w:val="0"/>
                <w:numId w:val="0"/>
              </w:numPr>
              <w:jc w:val="center"/>
              <w:rPr>
                <w:rFonts w:eastAsia="Times New Roman" w:cs="Times New Roman"/>
                <w:kern w:val="0"/>
                <w:lang w:eastAsia="en-AU"/>
                <w14:ligatures w14:val="none"/>
              </w:rPr>
            </w:pPr>
            <w:r>
              <w:t>$90.00</w:t>
            </w:r>
          </w:p>
        </w:tc>
      </w:tr>
      <w:tr w:rsidR="00E17BBA" w:rsidRPr="00DD1045" w14:paraId="4049D77B" w14:textId="481C0A60" w:rsidTr="00E17BBA">
        <w:trPr>
          <w:trHeight w:val="91"/>
        </w:trPr>
        <w:tc>
          <w:tcPr>
            <w:tcW w:w="2415" w:type="dxa"/>
            <w:tcBorders>
              <w:left w:val="nil"/>
              <w:bottom w:val="single" w:sz="18" w:space="0" w:color="E7E6E6" w:themeColor="background2"/>
            </w:tcBorders>
            <w:vAlign w:val="center"/>
          </w:tcPr>
          <w:p w14:paraId="305205FA" w14:textId="75A02B92" w:rsidR="00304E20" w:rsidRPr="002B431B" w:rsidRDefault="00304E20" w:rsidP="3DFEC42B">
            <w:pPr>
              <w:pStyle w:val="ARDotpoints"/>
              <w:numPr>
                <w:ilvl w:val="0"/>
                <w:numId w:val="0"/>
              </w:numPr>
              <w:rPr>
                <w:rFonts w:ascii="Source Sans Pro SemiBold" w:hAnsi="Source Sans Pro SemiBold"/>
              </w:rPr>
            </w:pPr>
            <w:r w:rsidRPr="002B431B">
              <w:rPr>
                <w:rFonts w:ascii="Source Sans Pro SemiBold" w:hAnsi="Source Sans Pro SemiBold"/>
              </w:rPr>
              <w:t>Stacey Schinnerl </w:t>
            </w:r>
          </w:p>
          <w:p w14:paraId="1B222B78" w14:textId="32E86861" w:rsidR="00304E20" w:rsidRPr="009C168D" w:rsidRDefault="00304E20" w:rsidP="00B318DB">
            <w:pPr>
              <w:pStyle w:val="ARDotpoints"/>
              <w:numPr>
                <w:ilvl w:val="0"/>
                <w:numId w:val="0"/>
              </w:numPr>
              <w:rPr>
                <w:rFonts w:eastAsia="Times New Roman" w:cs="Times New Roman"/>
                <w:kern w:val="0"/>
                <w:lang w:eastAsia="en-AU"/>
                <w14:ligatures w14:val="none"/>
              </w:rPr>
            </w:pPr>
            <w:r w:rsidRPr="008A4A66">
              <w:rPr>
                <w:rFonts w:eastAsia="Times New Roman" w:cs="Times New Roman"/>
                <w:sz w:val="16"/>
                <w:szCs w:val="16"/>
                <w:lang w:eastAsia="en-AU"/>
              </w:rPr>
              <w:t>Board member</w:t>
            </w:r>
            <w:r w:rsidR="002B431B" w:rsidRPr="008A4A66">
              <w:rPr>
                <w:rFonts w:eastAsia="Times New Roman" w:cs="Times New Roman"/>
                <w:sz w:val="16"/>
                <w:szCs w:val="16"/>
                <w:lang w:eastAsia="en-AU"/>
              </w:rPr>
              <w:br/>
            </w:r>
            <w:r w:rsidRPr="008A4A66">
              <w:rPr>
                <w:rFonts w:eastAsia="Times New Roman" w:cs="Times New Roman"/>
                <w:sz w:val="16"/>
                <w:szCs w:val="16"/>
                <w:lang w:eastAsia="en-AU"/>
              </w:rPr>
              <w:t>People Commit</w:t>
            </w:r>
            <w:r w:rsidR="00EC0B31" w:rsidRPr="008A4A66">
              <w:rPr>
                <w:rFonts w:eastAsia="Times New Roman" w:cs="Times New Roman"/>
                <w:sz w:val="16"/>
                <w:szCs w:val="16"/>
                <w:lang w:eastAsia="en-AU"/>
              </w:rPr>
              <w:t>t</w:t>
            </w:r>
            <w:r w:rsidRPr="008A4A66">
              <w:rPr>
                <w:rFonts w:eastAsia="Times New Roman" w:cs="Times New Roman"/>
                <w:sz w:val="16"/>
                <w:szCs w:val="16"/>
                <w:lang w:eastAsia="en-AU"/>
              </w:rPr>
              <w:t>ee member</w:t>
            </w:r>
          </w:p>
        </w:tc>
        <w:tc>
          <w:tcPr>
            <w:tcW w:w="1418" w:type="dxa"/>
            <w:tcBorders>
              <w:bottom w:val="single" w:sz="18" w:space="0" w:color="E7E6E6" w:themeColor="background2"/>
            </w:tcBorders>
            <w:vAlign w:val="center"/>
          </w:tcPr>
          <w:p w14:paraId="08EA4B73" w14:textId="5D0281C7" w:rsidR="00304E20" w:rsidRPr="00DD1045" w:rsidRDefault="00304E20" w:rsidP="000A23CC">
            <w:pPr>
              <w:pStyle w:val="ARDotpoints"/>
              <w:numPr>
                <w:ilvl w:val="0"/>
                <w:numId w:val="0"/>
              </w:numPr>
              <w:jc w:val="center"/>
            </w:pPr>
            <w:r w:rsidRPr="009C168D">
              <w:rPr>
                <w:rFonts w:eastAsia="Times New Roman" w:cs="Times New Roman"/>
                <w:kern w:val="0"/>
                <w:lang w:eastAsia="en-AU"/>
                <w14:ligatures w14:val="none"/>
              </w:rPr>
              <w:t>02/10/2020– 30/06/2026</w:t>
            </w:r>
          </w:p>
        </w:tc>
        <w:tc>
          <w:tcPr>
            <w:tcW w:w="1417" w:type="dxa"/>
            <w:tcBorders>
              <w:bottom w:val="single" w:sz="18" w:space="0" w:color="E7E6E6" w:themeColor="background2"/>
            </w:tcBorders>
            <w:vAlign w:val="center"/>
          </w:tcPr>
          <w:p w14:paraId="1F5D3EBD" w14:textId="5CAAB26D" w:rsidR="00304E20" w:rsidRPr="009C168D" w:rsidRDefault="00361330" w:rsidP="000A23CC">
            <w:pPr>
              <w:pStyle w:val="ARDotpoints"/>
              <w:numPr>
                <w:ilvl w:val="0"/>
                <w:numId w:val="0"/>
              </w:numPr>
              <w:jc w:val="center"/>
              <w:rPr>
                <w:rFonts w:eastAsia="Times New Roman" w:cs="Times New Roman"/>
                <w:kern w:val="0"/>
                <w:lang w:eastAsia="en-AU"/>
                <w14:ligatures w14:val="none"/>
              </w:rPr>
            </w:pPr>
            <w:r>
              <w:rPr>
                <w:rFonts w:eastAsia="Times New Roman" w:cs="Times New Roman"/>
                <w:kern w:val="0"/>
                <w:lang w:eastAsia="en-AU"/>
                <w14:ligatures w14:val="none"/>
              </w:rPr>
              <w:t>9</w:t>
            </w:r>
            <w:r w:rsidR="00304E20" w:rsidRPr="009C168D">
              <w:rPr>
                <w:rFonts w:eastAsia="Times New Roman" w:cs="Times New Roman"/>
                <w:kern w:val="0"/>
                <w:lang w:eastAsia="en-AU"/>
                <w14:ligatures w14:val="none"/>
              </w:rPr>
              <w:t>/9</w:t>
            </w:r>
          </w:p>
        </w:tc>
        <w:tc>
          <w:tcPr>
            <w:tcW w:w="1559" w:type="dxa"/>
            <w:tcBorders>
              <w:bottom w:val="single" w:sz="18" w:space="0" w:color="E7E6E6" w:themeColor="background2"/>
            </w:tcBorders>
            <w:vAlign w:val="center"/>
          </w:tcPr>
          <w:p w14:paraId="573CA8D5" w14:textId="45A2DEE3" w:rsidR="00304E20" w:rsidRPr="0019616F" w:rsidRDefault="2BE507B8" w:rsidP="00B318DB">
            <w:pPr>
              <w:pStyle w:val="ARDotpoints"/>
              <w:numPr>
                <w:ilvl w:val="0"/>
                <w:numId w:val="0"/>
              </w:numPr>
              <w:jc w:val="center"/>
            </w:pPr>
            <w:r>
              <w:rPr>
                <w:rFonts w:eastAsia="Times New Roman" w:cs="Times New Roman"/>
                <w:kern w:val="0"/>
                <w:lang w:eastAsia="en-AU"/>
                <w14:ligatures w14:val="none"/>
              </w:rPr>
              <w:t>1</w:t>
            </w:r>
            <w:r w:rsidR="00304E20" w:rsidRPr="009C168D">
              <w:rPr>
                <w:rFonts w:eastAsia="Times New Roman" w:cs="Times New Roman"/>
                <w:kern w:val="0"/>
                <w:lang w:eastAsia="en-AU"/>
                <w14:ligatures w14:val="none"/>
              </w:rPr>
              <w:t>/</w:t>
            </w:r>
            <w:r w:rsidR="18746799" w:rsidRPr="009C168D">
              <w:rPr>
                <w:rFonts w:eastAsia="Times New Roman" w:cs="Times New Roman"/>
                <w:kern w:val="0"/>
                <w:lang w:eastAsia="en-AU"/>
                <w14:ligatures w14:val="none"/>
              </w:rPr>
              <w:t>0</w:t>
            </w:r>
          </w:p>
        </w:tc>
        <w:tc>
          <w:tcPr>
            <w:tcW w:w="1560" w:type="dxa"/>
            <w:tcBorders>
              <w:bottom w:val="single" w:sz="18" w:space="0" w:color="E7E6E6" w:themeColor="background2"/>
            </w:tcBorders>
            <w:vAlign w:val="center"/>
          </w:tcPr>
          <w:p w14:paraId="4D25DADB" w14:textId="57B18EE1" w:rsidR="00304E20" w:rsidRPr="0071543B" w:rsidRDefault="002B0C74" w:rsidP="00B318DB">
            <w:pPr>
              <w:pStyle w:val="ARDotpoints"/>
              <w:numPr>
                <w:ilvl w:val="0"/>
                <w:numId w:val="0"/>
              </w:numPr>
              <w:jc w:val="center"/>
              <w:rPr>
                <w:highlight w:val="yellow"/>
              </w:rPr>
            </w:pPr>
            <w:r>
              <w:rPr>
                <w:rFonts w:eastAsia="Times New Roman" w:cs="Times New Roman"/>
                <w:kern w:val="0"/>
                <w:lang w:eastAsia="en-AU"/>
                <w14:ligatures w14:val="none"/>
              </w:rPr>
              <w:t>3</w:t>
            </w:r>
            <w:r w:rsidR="00304E20" w:rsidRPr="009C168D">
              <w:rPr>
                <w:rFonts w:eastAsia="Times New Roman" w:cs="Times New Roman"/>
                <w:kern w:val="0"/>
                <w:lang w:eastAsia="en-AU"/>
                <w14:ligatures w14:val="none"/>
              </w:rPr>
              <w:t>/</w:t>
            </w:r>
            <w:r>
              <w:rPr>
                <w:rFonts w:eastAsia="Times New Roman" w:cs="Times New Roman"/>
                <w:kern w:val="0"/>
                <w:lang w:eastAsia="en-AU"/>
                <w14:ligatures w14:val="none"/>
              </w:rPr>
              <w:t>3</w:t>
            </w:r>
            <w:r w:rsidR="00304E20" w:rsidRPr="009C168D">
              <w:rPr>
                <w:rFonts w:eastAsia="Times New Roman" w:cs="Times New Roman"/>
                <w:kern w:val="0"/>
                <w:lang w:eastAsia="en-AU"/>
                <w14:ligatures w14:val="none"/>
              </w:rPr>
              <w:t> </w:t>
            </w:r>
          </w:p>
        </w:tc>
        <w:tc>
          <w:tcPr>
            <w:tcW w:w="1265" w:type="dxa"/>
            <w:tcBorders>
              <w:bottom w:val="single" w:sz="18" w:space="0" w:color="E7E6E6" w:themeColor="background2"/>
              <w:right w:val="nil"/>
            </w:tcBorders>
            <w:vAlign w:val="center"/>
          </w:tcPr>
          <w:p w14:paraId="76C6E84D" w14:textId="1800A625" w:rsidR="00304E20" w:rsidRPr="009C168D" w:rsidRDefault="00EC0B31" w:rsidP="00B318DB">
            <w:pPr>
              <w:pStyle w:val="ARDotpoints"/>
              <w:numPr>
                <w:ilvl w:val="0"/>
                <w:numId w:val="0"/>
              </w:numPr>
              <w:jc w:val="center"/>
              <w:rPr>
                <w:rFonts w:eastAsia="Times New Roman" w:cs="Times New Roman"/>
                <w:kern w:val="0"/>
                <w:lang w:eastAsia="en-AU"/>
                <w14:ligatures w14:val="none"/>
              </w:rPr>
            </w:pPr>
            <w:r>
              <w:rPr>
                <w:rFonts w:eastAsia="Times New Roman" w:cs="Times New Roman"/>
                <w:kern w:val="0"/>
                <w:lang w:eastAsia="en-AU"/>
                <w14:ligatures w14:val="none"/>
              </w:rPr>
              <w:t>$0.00</w:t>
            </w:r>
          </w:p>
        </w:tc>
      </w:tr>
    </w:tbl>
    <w:p w14:paraId="4CC08F43" w14:textId="77777777" w:rsidR="002B431B" w:rsidRDefault="002B431B" w:rsidP="3DFEC42B">
      <w:pPr>
        <w:pStyle w:val="ARHeading1"/>
        <w:rPr>
          <w:sz w:val="24"/>
          <w:szCs w:val="24"/>
        </w:rPr>
        <w:sectPr w:rsidR="002B431B" w:rsidSect="00995EE4">
          <w:type w:val="continuous"/>
          <w:pgSz w:w="11906" w:h="16838"/>
          <w:pgMar w:top="1440" w:right="1440" w:bottom="1440" w:left="1440" w:header="708" w:footer="708" w:gutter="0"/>
          <w:cols w:space="708"/>
          <w:docGrid w:linePitch="360"/>
        </w:sectPr>
      </w:pPr>
      <w:bookmarkStart w:id="117" w:name="_Toc172009737"/>
    </w:p>
    <w:p w14:paraId="1E081D04" w14:textId="2B1759A4" w:rsidR="009F2C89" w:rsidRPr="00071E8D" w:rsidRDefault="009F2C89" w:rsidP="3DFEC42B">
      <w:pPr>
        <w:pStyle w:val="ARHeading1"/>
        <w:rPr>
          <w:sz w:val="28"/>
          <w:szCs w:val="28"/>
        </w:rPr>
      </w:pPr>
      <w:r w:rsidRPr="00071E8D">
        <w:rPr>
          <w:sz w:val="24"/>
          <w:szCs w:val="24"/>
        </w:rPr>
        <w:lastRenderedPageBreak/>
        <w:t>People Committee</w:t>
      </w:r>
      <w:bookmarkEnd w:id="117"/>
    </w:p>
    <w:p w14:paraId="19207B99" w14:textId="6126884A" w:rsidR="009F2C89" w:rsidRDefault="0680581F" w:rsidP="009F2C89">
      <w:r>
        <w:t>The People Committee’s role is to assist the Board in fulfilling its statutory respons</w:t>
      </w:r>
      <w:r w:rsidR="7C90F5DD">
        <w:t>i</w:t>
      </w:r>
      <w:r>
        <w:t>bilities, as outlined in the People Committee Charter. The Committee reports directly to the Board on WorkCover people matters and strategies</w:t>
      </w:r>
      <w:r w:rsidR="2A0521B3">
        <w:t xml:space="preserve"> and</w:t>
      </w:r>
      <w:r>
        <w:t xml:space="preserve"> </w:t>
      </w:r>
      <w:r w:rsidR="2A0521B3">
        <w:t>meets quarterly.</w:t>
      </w:r>
    </w:p>
    <w:p w14:paraId="1CAD3B14" w14:textId="4B334668" w:rsidR="252B175D" w:rsidRDefault="5CA27DDA">
      <w:r>
        <w:t>The Committee consists of a minimum of three and maximum of five indep</w:t>
      </w:r>
      <w:r w:rsidR="01DA9C7A">
        <w:t>en</w:t>
      </w:r>
      <w:r>
        <w:t>dent non-executive directors, comprised from the Board. The Committee members are not paid any add</w:t>
      </w:r>
      <w:r w:rsidR="0AF30AC9">
        <w:t>i</w:t>
      </w:r>
      <w:r>
        <w:t>tional remuneration for serving on this Committee</w:t>
      </w:r>
      <w:r w:rsidR="75EF7A3D">
        <w:t xml:space="preserve">. </w:t>
      </w:r>
    </w:p>
    <w:p w14:paraId="3A7D53E8" w14:textId="77777777" w:rsidR="00063DAE" w:rsidRPr="00DD1045" w:rsidRDefault="00063DAE" w:rsidP="009F2C89"/>
    <w:p w14:paraId="5862514C" w14:textId="59785206" w:rsidR="009F2C89" w:rsidRDefault="009F2C89" w:rsidP="009F2C89">
      <w:pPr>
        <w:pStyle w:val="ARHeading1"/>
      </w:pPr>
      <w:bookmarkStart w:id="118" w:name="_Toc172009738"/>
      <w:r>
        <w:t>Public Sector Ethics</w:t>
      </w:r>
      <w:bookmarkEnd w:id="118"/>
    </w:p>
    <w:p w14:paraId="3E1C2280" w14:textId="59F51910" w:rsidR="002873DD" w:rsidRPr="00F1353F" w:rsidRDefault="002873DD" w:rsidP="00DC6CD8">
      <w:r w:rsidRPr="00DC6CD8">
        <w:t xml:space="preserve">At WorkCover we aim to conduct our business according to the highest standards of ethical conduct. It is expected that all employees meet these standards of conduct in accordance with our Code of Conduct and support the vision and values of WorkCover. Our Code of Conduct is based on the four ethics principles outlined in the </w:t>
      </w:r>
      <w:r w:rsidRPr="00F1353F">
        <w:rPr>
          <w:i/>
          <w:iCs/>
        </w:rPr>
        <w:t>Public Sector Ethics Act 1994</w:t>
      </w:r>
      <w:r w:rsidRPr="00F1353F">
        <w:t xml:space="preserve"> (Qld) (PSE Act). The ethics considered essential for the performance of public administration in Queensland are integrity and impartiality, promoting the public good, commitment to the system of government and accountability and transparency.  </w:t>
      </w:r>
    </w:p>
    <w:p w14:paraId="5864548D" w14:textId="77777777" w:rsidR="002873DD" w:rsidRPr="00F1353F" w:rsidRDefault="002873DD" w:rsidP="00DC6CD8">
      <w:r w:rsidRPr="00F1353F">
        <w:t>The principles have been incorporated into WorkCover’s Code of Conduct. A Code of Conduct agreement is signed upon a new employees’ appointment, acknowledging they are committing to upholding these principles and standards of behaviour. The Code of Conduct is communicated to our people through the corporate induction program and is available on our internal intranet and external website. Our people, including the Board, receive annual compliance training on the Code and the PSE Act in general. All relevant internal policies and practices align with the Code, including the ethical principles and values. Non-compliance with the code may result in disciplinary action, which could include termination of employment.  </w:t>
      </w:r>
    </w:p>
    <w:p w14:paraId="1C0C8D13" w14:textId="7F4AC946" w:rsidR="002873DD" w:rsidRPr="00F1353F" w:rsidRDefault="002873DD" w:rsidP="00DC6CD8">
      <w:r w:rsidRPr="00F1353F">
        <w:t xml:space="preserve">The Board </w:t>
      </w:r>
      <w:r w:rsidR="00E54D11">
        <w:t>is</w:t>
      </w:r>
      <w:r w:rsidRPr="00F1353F">
        <w:t xml:space="preserve"> also required to act honestly, disclose interests, exercise diligence, and not use information or their position inappropriately. Additionally, they follow guidelines set out in </w:t>
      </w:r>
      <w:r w:rsidRPr="00F1353F">
        <w:rPr>
          <w:i/>
          <w:iCs/>
        </w:rPr>
        <w:t>Welcome Aboard: A Guide for Members of Queensland Government Boards, Committees and Statutory Authorities</w:t>
      </w:r>
      <w:r w:rsidRPr="00F1353F">
        <w:t>, as issued by the Department of Premier and Cabinet. </w:t>
      </w:r>
    </w:p>
    <w:p w14:paraId="288CE24D" w14:textId="77777777" w:rsidR="002873DD" w:rsidRPr="00F1353F" w:rsidRDefault="002873DD" w:rsidP="00DC6CD8">
      <w:r w:rsidRPr="00F1353F">
        <w:t>WorkCover’s values of excellence, integrity, responsiveness and respect align with the PSE Act values and principles and these are integrated into everything we do.  </w:t>
      </w:r>
    </w:p>
    <w:p w14:paraId="756D7E4C" w14:textId="77777777" w:rsidR="002873DD" w:rsidRDefault="002873DD" w:rsidP="009F2C89"/>
    <w:p w14:paraId="3C1E6D06" w14:textId="691AA98F" w:rsidR="009F2C89" w:rsidRPr="00DD1045" w:rsidRDefault="009F2C89" w:rsidP="009F2C89">
      <w:pPr>
        <w:pStyle w:val="ARHeading1"/>
      </w:pPr>
      <w:bookmarkStart w:id="119" w:name="_Toc172009739"/>
      <w:r>
        <w:t>Human Rights</w:t>
      </w:r>
      <w:bookmarkEnd w:id="119"/>
    </w:p>
    <w:p w14:paraId="4033644E" w14:textId="0ACAB487" w:rsidR="00DC6CD8" w:rsidRPr="00DC6CD8" w:rsidRDefault="00DC6CD8" w:rsidP="00DC6CD8">
      <w:r w:rsidRPr="00DC6CD8">
        <w:t xml:space="preserve">WorkCover supports the objectives of the </w:t>
      </w:r>
      <w:r w:rsidRPr="00DC6CD8">
        <w:rPr>
          <w:i/>
          <w:iCs/>
        </w:rPr>
        <w:t>Human Rights Act 2019</w:t>
      </w:r>
      <w:r w:rsidRPr="00DC6CD8">
        <w:t xml:space="preserve"> (Qld) (HRA) to protect and promote human rights, and build a culture that respects human rights, which is reflected in our values.  </w:t>
      </w:r>
    </w:p>
    <w:p w14:paraId="0E9BCA8C" w14:textId="77777777" w:rsidR="00DC6CD8" w:rsidRPr="00DC6CD8" w:rsidRDefault="00DC6CD8" w:rsidP="00DC6CD8">
      <w:r w:rsidRPr="00DC6CD8">
        <w:t>During the year, WorkCover undertook a range of activities to further the objectives of the HRA: </w:t>
      </w:r>
    </w:p>
    <w:p w14:paraId="09B617E8" w14:textId="77777777" w:rsidR="00DC6CD8" w:rsidRPr="00DC6CD8" w:rsidRDefault="00DC6CD8" w:rsidP="002F6667">
      <w:pPr>
        <w:pStyle w:val="ARDotpoints"/>
        <w:ind w:left="584"/>
      </w:pPr>
      <w:r w:rsidRPr="00DC6CD8">
        <w:t>Ongoing reporting of WorkCover’s obligations. </w:t>
      </w:r>
    </w:p>
    <w:p w14:paraId="29BFD7DB" w14:textId="77777777" w:rsidR="00DC6CD8" w:rsidRPr="00DC6CD8" w:rsidRDefault="00DC6CD8" w:rsidP="002F6667">
      <w:pPr>
        <w:pStyle w:val="ARDotpoints"/>
        <w:ind w:left="584"/>
      </w:pPr>
      <w:r w:rsidRPr="00DC6CD8">
        <w:t>Reviewed annual compliance training materials and induction program training which includes references to the HRA and our obligations. </w:t>
      </w:r>
    </w:p>
    <w:p w14:paraId="3FC8A55B" w14:textId="77777777" w:rsidR="00DC6CD8" w:rsidRPr="00DC6CD8" w:rsidRDefault="00DC6CD8" w:rsidP="002F6667">
      <w:pPr>
        <w:pStyle w:val="ARDotpoints"/>
        <w:ind w:left="584"/>
      </w:pPr>
      <w:r w:rsidRPr="00DC6CD8">
        <w:t>Promoted diversity, inclusion and belonging initiatives to put inclusion at the forefront of interactions and to leverage diversity, including establishing the Amplify employee representative group. </w:t>
      </w:r>
    </w:p>
    <w:p w14:paraId="0F7C61C3" w14:textId="77777777" w:rsidR="00DC6CD8" w:rsidRPr="00DC6CD8" w:rsidRDefault="00DC6CD8" w:rsidP="002F6667">
      <w:pPr>
        <w:pStyle w:val="ARDotpoints"/>
        <w:ind w:left="584"/>
      </w:pPr>
      <w:r w:rsidRPr="00DC6CD8">
        <w:t>Developed our First Nations Strategy to evolve our commitments to reconciliation towards purposeful action that makes an impact to First Nations workers and the wider community we serve. </w:t>
      </w:r>
    </w:p>
    <w:p w14:paraId="31BF372E" w14:textId="77777777" w:rsidR="00DC6CD8" w:rsidRPr="00DC6CD8" w:rsidRDefault="00DC6CD8" w:rsidP="002F6667">
      <w:pPr>
        <w:pStyle w:val="ARDotpoints"/>
        <w:ind w:left="584"/>
      </w:pPr>
      <w:r w:rsidRPr="00DC6CD8">
        <w:t>Continued to progress actions under the Reconciliation Action Plan (RAP). </w:t>
      </w:r>
    </w:p>
    <w:p w14:paraId="1FBE503F" w14:textId="4C1DF28D" w:rsidR="00DC6CD8" w:rsidRPr="00DC6CD8" w:rsidRDefault="00DC6CD8" w:rsidP="002F6667">
      <w:pPr>
        <w:pStyle w:val="ARDotpoints"/>
        <w:ind w:left="584"/>
      </w:pPr>
      <w:r w:rsidRPr="00DC6CD8">
        <w:t>Updated our Complaints policy to include reference to the HRA and how to make a human rights complaint. </w:t>
      </w:r>
    </w:p>
    <w:p w14:paraId="40FDB1E2" w14:textId="0CBD62C9" w:rsidR="009F2C89" w:rsidRDefault="00DC6CD8" w:rsidP="00274D0C">
      <w:r w:rsidRPr="00DC6CD8">
        <w:t xml:space="preserve">WorkCover received </w:t>
      </w:r>
      <w:r w:rsidR="002768F2">
        <w:t>no</w:t>
      </w:r>
      <w:r>
        <w:t xml:space="preserve"> </w:t>
      </w:r>
      <w:r w:rsidRPr="00DC6CD8">
        <w:t>human rights complaint</w:t>
      </w:r>
      <w:r w:rsidR="002768F2">
        <w:t>s</w:t>
      </w:r>
      <w:r w:rsidRPr="00DC6CD8">
        <w:t xml:space="preserve"> between 1 July 2023 – 30 June 2024 in relation to WorkCover’s actions or activities. </w:t>
      </w:r>
    </w:p>
    <w:p w14:paraId="34DA8B55" w14:textId="77777777" w:rsidR="00ED093F" w:rsidRDefault="00ED093F" w:rsidP="00274D0C"/>
    <w:p w14:paraId="126FA54D" w14:textId="77777777" w:rsidR="00ED093F" w:rsidRDefault="00ED093F" w:rsidP="00274D0C">
      <w:pPr>
        <w:rPr>
          <w:b/>
          <w:bCs/>
        </w:rPr>
      </w:pPr>
    </w:p>
    <w:p w14:paraId="1244E20C" w14:textId="77777777" w:rsidR="002B431B" w:rsidRDefault="002B431B" w:rsidP="00274D0C">
      <w:pPr>
        <w:rPr>
          <w:b/>
          <w:bCs/>
        </w:rPr>
        <w:sectPr w:rsidR="002B431B" w:rsidSect="002B431B">
          <w:type w:val="continuous"/>
          <w:pgSz w:w="11906" w:h="16838"/>
          <w:pgMar w:top="1440" w:right="1440" w:bottom="1440" w:left="1440" w:header="708" w:footer="708" w:gutter="0"/>
          <w:cols w:num="2" w:space="708"/>
          <w:docGrid w:linePitch="360"/>
        </w:sectPr>
      </w:pPr>
    </w:p>
    <w:p w14:paraId="5E926092" w14:textId="07786216" w:rsidR="002E4A02" w:rsidRPr="00DD1045" w:rsidRDefault="002E4A02" w:rsidP="002E4A02">
      <w:pPr>
        <w:pStyle w:val="ARMainTitle"/>
        <w:pBdr>
          <w:bottom w:val="single" w:sz="4" w:space="1" w:color="auto"/>
        </w:pBdr>
      </w:pPr>
      <w:bookmarkStart w:id="120" w:name="_Toc172009740"/>
      <w:r w:rsidRPr="00DD1045">
        <w:lastRenderedPageBreak/>
        <w:t>Governance of risk management and accountability</w:t>
      </w:r>
      <w:bookmarkEnd w:id="120"/>
    </w:p>
    <w:p w14:paraId="4BBFAFD8" w14:textId="77777777" w:rsidR="0034743E" w:rsidRDefault="0034743E" w:rsidP="009F2C89">
      <w:pPr>
        <w:pStyle w:val="ARHeading1"/>
        <w:sectPr w:rsidR="0034743E" w:rsidSect="00995EE4">
          <w:type w:val="continuous"/>
          <w:pgSz w:w="11906" w:h="16838"/>
          <w:pgMar w:top="1440" w:right="1440" w:bottom="1440" w:left="1440" w:header="708" w:footer="708" w:gutter="0"/>
          <w:cols w:space="708"/>
          <w:docGrid w:linePitch="360"/>
        </w:sectPr>
      </w:pPr>
      <w:bookmarkStart w:id="121" w:name="_Toc172009741"/>
    </w:p>
    <w:p w14:paraId="71135D23" w14:textId="1FDB06C4" w:rsidR="009F2C89" w:rsidRPr="00DD1045" w:rsidRDefault="009F2C89" w:rsidP="009F2C89">
      <w:pPr>
        <w:pStyle w:val="ARHeading1"/>
      </w:pPr>
      <w:r>
        <w:t>Risk management</w:t>
      </w:r>
      <w:bookmarkEnd w:id="121"/>
    </w:p>
    <w:p w14:paraId="1BDF1206" w14:textId="42E8BAA9" w:rsidR="00F366C2" w:rsidRDefault="00F366C2" w:rsidP="00F366C2">
      <w:pPr>
        <w:rPr>
          <w:rFonts w:ascii="Segoe UI" w:hAnsi="Segoe UI"/>
          <w:sz w:val="18"/>
          <w:szCs w:val="18"/>
        </w:rPr>
      </w:pPr>
      <w:r>
        <w:rPr>
          <w:rStyle w:val="normaltextrun"/>
          <w:rFonts w:cs="Segoe UI"/>
        </w:rPr>
        <w:t xml:space="preserve">WorkCover is committed to the implementation of our risk management program throughout the organisation, </w:t>
      </w:r>
      <w:r>
        <w:rPr>
          <w:rStyle w:val="normaltextrun"/>
          <w:rFonts w:cs="Segoe UI"/>
          <w:shd w:val="clear" w:color="auto" w:fill="FFFFFF"/>
        </w:rPr>
        <w:t xml:space="preserve">to assist in setting strategy, achieving objectives, and making informed decisions in line with agreed risk appetites. Our enterprise risk management framework and risk management policy align to the principles outlined in </w:t>
      </w:r>
      <w:r w:rsidRPr="00182D0B">
        <w:rPr>
          <w:rStyle w:val="normaltextrun"/>
          <w:rFonts w:cs="Segoe UI"/>
          <w:i/>
          <w:iCs/>
          <w:shd w:val="clear" w:color="auto" w:fill="FFFFFF"/>
        </w:rPr>
        <w:t xml:space="preserve">ISO 31000:2018 Risk Management – Guidelines </w:t>
      </w:r>
      <w:r>
        <w:rPr>
          <w:rStyle w:val="normaltextrun"/>
          <w:rFonts w:cs="Segoe UI"/>
          <w:shd w:val="clear" w:color="auto" w:fill="FFFFFF"/>
        </w:rPr>
        <w:t xml:space="preserve">and meets the requirements of the </w:t>
      </w:r>
      <w:r>
        <w:rPr>
          <w:rStyle w:val="normaltextrun"/>
          <w:rFonts w:cs="Segoe UI"/>
          <w:i/>
          <w:iCs/>
          <w:shd w:val="clear" w:color="auto" w:fill="FFFFFF"/>
        </w:rPr>
        <w:t>Financial</w:t>
      </w:r>
      <w:r w:rsidR="00FE0079">
        <w:rPr>
          <w:rStyle w:val="normaltextrun"/>
          <w:rFonts w:cs="Segoe UI"/>
          <w:i/>
          <w:iCs/>
          <w:shd w:val="clear" w:color="auto" w:fill="FFFFFF"/>
        </w:rPr>
        <w:t xml:space="preserve"> and</w:t>
      </w:r>
      <w:r>
        <w:rPr>
          <w:rStyle w:val="normaltextrun"/>
          <w:rFonts w:cs="Segoe UI"/>
          <w:i/>
          <w:iCs/>
          <w:shd w:val="clear" w:color="auto" w:fill="FFFFFF"/>
        </w:rPr>
        <w:t xml:space="preserve"> Performance Management Standard 2019</w:t>
      </w:r>
      <w:r>
        <w:rPr>
          <w:rStyle w:val="normaltextrun"/>
          <w:rFonts w:cs="Segoe UI"/>
          <w:shd w:val="clear" w:color="auto" w:fill="FFFFFF"/>
        </w:rPr>
        <w:t>.</w:t>
      </w:r>
      <w:r>
        <w:rPr>
          <w:rStyle w:val="eop"/>
          <w:rFonts w:cs="Segoe UI"/>
        </w:rPr>
        <w:t> </w:t>
      </w:r>
    </w:p>
    <w:p w14:paraId="57C33FC1" w14:textId="5154C5EC" w:rsidR="00F366C2" w:rsidRDefault="00F366C2" w:rsidP="00F366C2">
      <w:pPr>
        <w:rPr>
          <w:rFonts w:ascii="Segoe UI" w:hAnsi="Segoe UI"/>
          <w:sz w:val="18"/>
          <w:szCs w:val="18"/>
        </w:rPr>
      </w:pPr>
      <w:r>
        <w:rPr>
          <w:rStyle w:val="normaltextrun"/>
          <w:rFonts w:cs="Segoe UI"/>
          <w:shd w:val="clear" w:color="auto" w:fill="FFFFFF"/>
        </w:rPr>
        <w:t xml:space="preserve">Our approach to risk management is through embedding a risk aware culture and adopting a balanced risk mindset by seeking to create value through minimising the negative consequences of risks, while taking advantage of appropriate opportunities at the right time. This includes establishing an appropriate structure and clear lines of responsibility to systematically identify, evaluate and manage risks associated with our operations. </w:t>
      </w:r>
      <w:r>
        <w:rPr>
          <w:rStyle w:val="normaltextrun"/>
          <w:rFonts w:cs="Segoe UI"/>
        </w:rPr>
        <w:t xml:space="preserve">Emerging trends are identified, assessed, monitored, and reported on through a dedicated framework to support timely understanding and escalation of the trends </w:t>
      </w:r>
      <w:r w:rsidRPr="00F16727">
        <w:rPr>
          <w:rStyle w:val="normaltextrun"/>
          <w:rFonts w:cs="Segoe UI"/>
        </w:rPr>
        <w:t>identified. We publish our risk management statement on ou</w:t>
      </w:r>
      <w:r w:rsidR="00DB5543">
        <w:rPr>
          <w:rStyle w:val="normaltextrun"/>
          <w:rFonts w:cs="Segoe UI"/>
        </w:rPr>
        <w:t xml:space="preserve">r </w:t>
      </w:r>
      <w:r w:rsidR="001362F2" w:rsidRPr="009842D8">
        <w:t>website</w:t>
      </w:r>
      <w:r w:rsidR="00182D0B" w:rsidRPr="00FA16DF">
        <w:rPr>
          <w:rStyle w:val="Hyperlink"/>
          <w:rFonts w:cs="Segoe UI"/>
          <w:color w:val="auto"/>
          <w:u w:val="none"/>
        </w:rPr>
        <w:t xml:space="preserve"> </w:t>
      </w:r>
      <w:r w:rsidR="00182D0B" w:rsidRPr="00F14E65">
        <w:rPr>
          <w:rStyle w:val="Hyperlink"/>
          <w:rFonts w:cs="Segoe UI"/>
          <w:color w:val="auto"/>
          <w:u w:val="none"/>
        </w:rPr>
        <w:t>(</w:t>
      </w:r>
      <w:hyperlink r:id="rId38" w:history="1">
        <w:r w:rsidR="00BE4F5A" w:rsidRPr="00FA16DF">
          <w:rPr>
            <w:rStyle w:val="Hyperlink"/>
            <w:rFonts w:cs="Segoe UI"/>
            <w:color w:val="auto"/>
          </w:rPr>
          <w:t>https://www.worksafe</w:t>
        </w:r>
      </w:hyperlink>
      <w:r w:rsidR="00BE4F5A" w:rsidRPr="00BE4F5A">
        <w:rPr>
          <w:rStyle w:val="Hyperlink"/>
          <w:rFonts w:cs="Segoe UI"/>
          <w:color w:val="auto"/>
        </w:rPr>
        <w:br/>
      </w:r>
      <w:r w:rsidR="00182D0B" w:rsidRPr="00BE4F5A">
        <w:rPr>
          <w:rStyle w:val="Hyperlink"/>
          <w:rFonts w:cs="Segoe UI"/>
          <w:color w:val="auto"/>
        </w:rPr>
        <w:t>.qld.gov.au/about/publication-scheme/our-policies/workcover-queensland-policies/risk-management</w:t>
      </w:r>
      <w:r w:rsidR="00182D0B" w:rsidRPr="00F14E65">
        <w:rPr>
          <w:rStyle w:val="Hyperlink"/>
          <w:rFonts w:cs="Segoe UI"/>
          <w:color w:val="auto"/>
          <w:u w:val="none"/>
        </w:rPr>
        <w:t>)</w:t>
      </w:r>
      <w:r w:rsidR="00CF208F" w:rsidRPr="00F14E65">
        <w:rPr>
          <w:rStyle w:val="normaltextrun"/>
          <w:rFonts w:cs="Segoe UI"/>
        </w:rPr>
        <w:t>.</w:t>
      </w:r>
    </w:p>
    <w:p w14:paraId="7871A534" w14:textId="77777777" w:rsidR="00F366C2" w:rsidRDefault="00F366C2" w:rsidP="00F366C2">
      <w:pPr>
        <w:rPr>
          <w:rFonts w:ascii="Segoe UI" w:hAnsi="Segoe UI"/>
          <w:sz w:val="18"/>
          <w:szCs w:val="18"/>
        </w:rPr>
      </w:pPr>
      <w:r>
        <w:rPr>
          <w:rStyle w:val="normaltextrun"/>
          <w:rFonts w:cs="Segoe UI"/>
        </w:rPr>
        <w:t>WorkCover’s risk management policy, including revised risk appetite statements and risk categories were endorsed throughout the year by the Risk and Audit Committee and approved annually by the Board. </w:t>
      </w:r>
      <w:r>
        <w:rPr>
          <w:rStyle w:val="eop"/>
          <w:rFonts w:cs="Segoe UI"/>
        </w:rPr>
        <w:t> </w:t>
      </w:r>
    </w:p>
    <w:p w14:paraId="3ADBB0C8" w14:textId="77777777" w:rsidR="00F366C2" w:rsidRDefault="00F366C2" w:rsidP="00F366C2">
      <w:pPr>
        <w:rPr>
          <w:rFonts w:ascii="Segoe UI" w:hAnsi="Segoe UI"/>
          <w:sz w:val="18"/>
          <w:szCs w:val="18"/>
        </w:rPr>
      </w:pPr>
      <w:r>
        <w:rPr>
          <w:rStyle w:val="normaltextrun"/>
          <w:rFonts w:cs="Segoe UI"/>
        </w:rPr>
        <w:t>We operate a three lines of defence model which outlines the structure, oversight, and responsibility of each assurance function within the organisation to provides assurance that WorkCover’s control environment is designed and operating effectively. The Board, including the Risk and Audit Committee (RAC), oversees the assurance activities undertaken across WorkCover’s three lines of defence. </w:t>
      </w:r>
      <w:r>
        <w:rPr>
          <w:rStyle w:val="eop"/>
          <w:rFonts w:cs="Segoe UI"/>
        </w:rPr>
        <w:t> </w:t>
      </w:r>
    </w:p>
    <w:p w14:paraId="1919A9EC" w14:textId="77777777" w:rsidR="00F366C2" w:rsidRDefault="00F366C2" w:rsidP="00F366C2">
      <w:pPr>
        <w:rPr>
          <w:rFonts w:ascii="Segoe UI" w:hAnsi="Segoe UI"/>
          <w:sz w:val="18"/>
          <w:szCs w:val="18"/>
        </w:rPr>
      </w:pPr>
      <w:r>
        <w:rPr>
          <w:rStyle w:val="normaltextrun"/>
          <w:rFonts w:cs="Segoe UI"/>
        </w:rPr>
        <w:t xml:space="preserve">WorkCover’s quality assurance programs form part of our compliance and risk management </w:t>
      </w:r>
      <w:r>
        <w:rPr>
          <w:rStyle w:val="normaltextrun"/>
          <w:rFonts w:cs="Segoe UI"/>
        </w:rPr>
        <w:t xml:space="preserve">frameworks. These programs emphasise continuous improvement, are aligned to </w:t>
      </w:r>
      <w:r>
        <w:rPr>
          <w:rStyle w:val="normaltextrun"/>
          <w:rFonts w:cs="Segoe UI"/>
          <w:i/>
          <w:iCs/>
        </w:rPr>
        <w:t>ISO 37301: 2021 Compliance management systems</w:t>
      </w:r>
      <w:r>
        <w:rPr>
          <w:rStyle w:val="normaltextrun"/>
          <w:rFonts w:cs="Segoe UI"/>
        </w:rPr>
        <w:t xml:space="preserve"> and designed to assess the effectiveness of internal controls in place to manage risks and identify areas for improvement. Compliance and quality assurance program reporting is provided quarterly to the Risk and Audit Committee. </w:t>
      </w:r>
      <w:r>
        <w:rPr>
          <w:rStyle w:val="eop"/>
          <w:rFonts w:cs="Segoe UI"/>
        </w:rPr>
        <w:t> </w:t>
      </w:r>
    </w:p>
    <w:p w14:paraId="08987E3B" w14:textId="60A0251B" w:rsidR="00F366C2" w:rsidRDefault="00F366C2" w:rsidP="00F366C2">
      <w:pPr>
        <w:rPr>
          <w:rFonts w:ascii="Segoe UI" w:hAnsi="Segoe UI"/>
          <w:sz w:val="18"/>
          <w:szCs w:val="18"/>
        </w:rPr>
      </w:pPr>
      <w:r>
        <w:rPr>
          <w:rStyle w:val="normaltextrun"/>
          <w:rFonts w:cs="Segoe UI"/>
        </w:rPr>
        <w:t xml:space="preserve">As part of WorkCover’s commitment to proactively managing our disruption and business continuity risks, and continuous improvement, during the year we completed </w:t>
      </w:r>
      <w:r w:rsidR="00D450FD">
        <w:rPr>
          <w:rStyle w:val="normaltextrun"/>
          <w:rFonts w:cs="Segoe UI"/>
        </w:rPr>
        <w:t xml:space="preserve">the </w:t>
      </w:r>
      <w:r>
        <w:rPr>
          <w:rStyle w:val="normaltextrun"/>
          <w:rFonts w:cs="Segoe UI"/>
        </w:rPr>
        <w:t>crisis scenario exercise training program for our Crisis Control Team (CCT) which included the Board, our Executive Leadership Team, other business areas, and key third-party suppliers. WorkCover’s business continuity management plans have been developed to minimise the impact of a crisis on our customers, stakeholders and employees, and were reviewed and tested during the year.  </w:t>
      </w:r>
      <w:r>
        <w:rPr>
          <w:rStyle w:val="eop"/>
          <w:rFonts w:cs="Segoe UI"/>
        </w:rPr>
        <w:t> </w:t>
      </w:r>
    </w:p>
    <w:p w14:paraId="3CC73D26" w14:textId="77777777" w:rsidR="00F366C2" w:rsidRDefault="00F366C2" w:rsidP="009F2C89"/>
    <w:p w14:paraId="1B0A2954" w14:textId="6A7A0C3F" w:rsidR="009F2C89" w:rsidRDefault="009F2C89" w:rsidP="009F2C89">
      <w:pPr>
        <w:pStyle w:val="ARHeading1"/>
      </w:pPr>
      <w:bookmarkStart w:id="122" w:name="_Toc172009742"/>
      <w:r>
        <w:t>Risk and Audit Committee</w:t>
      </w:r>
      <w:bookmarkEnd w:id="122"/>
    </w:p>
    <w:p w14:paraId="00F921E5" w14:textId="24C4B2C6" w:rsidR="002F6667" w:rsidRDefault="002F6667" w:rsidP="002F6667">
      <w:pPr>
        <w:rPr>
          <w:lang w:eastAsia="en-AU"/>
        </w:rPr>
      </w:pPr>
      <w:r w:rsidRPr="002F6667">
        <w:rPr>
          <w:lang w:eastAsia="en-AU"/>
        </w:rPr>
        <w:t xml:space="preserve">The Board established the Risk and Audit Committee, which consists of a minimum of three and a maximum of six independent non-executive directors comprised from the Board. Remuneration of the committee is noted </w:t>
      </w:r>
      <w:r w:rsidRPr="00A61D0E">
        <w:rPr>
          <w:lang w:eastAsia="en-AU"/>
        </w:rPr>
        <w:t>in</w:t>
      </w:r>
      <w:r w:rsidR="003F6061">
        <w:rPr>
          <w:lang w:eastAsia="en-AU"/>
        </w:rPr>
        <w:t xml:space="preserve"> note E3</w:t>
      </w:r>
      <w:r w:rsidRPr="00A61D0E">
        <w:rPr>
          <w:lang w:eastAsia="en-AU"/>
        </w:rPr>
        <w:t xml:space="preserve"> of the Financial Statements</w:t>
      </w:r>
      <w:r w:rsidRPr="002F6667">
        <w:rPr>
          <w:lang w:eastAsia="en-AU"/>
        </w:rPr>
        <w:t xml:space="preserve"> and paid in accordance with the </w:t>
      </w:r>
      <w:hyperlink r:id="rId39" w:tgtFrame="_blank" w:history="1">
        <w:r w:rsidRPr="75A4AB6C">
          <w:rPr>
            <w:i/>
            <w:iCs/>
            <w:u w:val="single"/>
            <w:lang w:eastAsia="en-AU"/>
          </w:rPr>
          <w:t>Remuneration Procedures for Part-Time Chairs and Members of Queensland Government Bodies</w:t>
        </w:r>
      </w:hyperlink>
      <w:r w:rsidRPr="00BE4F5A">
        <w:rPr>
          <w:lang w:eastAsia="en-AU"/>
        </w:rPr>
        <w:t xml:space="preserve"> </w:t>
      </w:r>
      <w:r w:rsidR="00D872E2" w:rsidRPr="00BE4F5A">
        <w:rPr>
          <w:lang w:eastAsia="en-AU"/>
        </w:rPr>
        <w:t>(</w:t>
      </w:r>
      <w:hyperlink r:id="rId40" w:history="1">
        <w:r w:rsidR="00BE4F5A" w:rsidRPr="00BE4F5A">
          <w:rPr>
            <w:rStyle w:val="Hyperlink"/>
            <w:color w:val="auto"/>
            <w:lang w:eastAsia="en-AU"/>
          </w:rPr>
          <w:t>https://www.qld.gov</w:t>
        </w:r>
        <w:r w:rsidR="00BE4F5A" w:rsidRPr="00BE4F5A">
          <w:rPr>
            <w:rStyle w:val="Hyperlink"/>
            <w:color w:val="auto"/>
            <w:lang w:eastAsia="en-AU"/>
          </w:rPr>
          <w:br/>
          <w:t>.au/__data/assets/pdf_file/0025/39481/remuneration-procedures.pdf</w:t>
        </w:r>
      </w:hyperlink>
      <w:r w:rsidR="00D872E2" w:rsidRPr="00BE4F5A">
        <w:rPr>
          <w:lang w:eastAsia="en-AU"/>
        </w:rPr>
        <w:t xml:space="preserve">). </w:t>
      </w:r>
      <w:r w:rsidRPr="002F6667">
        <w:rPr>
          <w:lang w:eastAsia="en-AU"/>
        </w:rPr>
        <w:t>A summary of committee membership (as at 30 June 2024) is outlined below.  </w:t>
      </w:r>
    </w:p>
    <w:tbl>
      <w:tblPr>
        <w:tblStyle w:val="TableGrid"/>
        <w:tblW w:w="4116" w:type="dxa"/>
        <w:tblInd w:w="-5" w:type="dxa"/>
        <w:tblBorders>
          <w:top w:val="single" w:sz="8" w:space="0" w:color="E7E6E6"/>
          <w:left w:val="single" w:sz="8" w:space="0" w:color="E7E6E6"/>
          <w:bottom w:val="single" w:sz="8" w:space="0" w:color="E7E6E6"/>
          <w:right w:val="single" w:sz="8" w:space="0" w:color="E7E6E6"/>
          <w:insideH w:val="single" w:sz="8" w:space="0" w:color="E7E6E6"/>
          <w:insideV w:val="single" w:sz="8" w:space="0" w:color="E7E6E6"/>
        </w:tblBorders>
        <w:tblLook w:val="04A0" w:firstRow="1" w:lastRow="0" w:firstColumn="1" w:lastColumn="0" w:noHBand="0" w:noVBand="1"/>
      </w:tblPr>
      <w:tblGrid>
        <w:gridCol w:w="1848"/>
        <w:gridCol w:w="2268"/>
      </w:tblGrid>
      <w:tr w:rsidR="00813CE7" w:rsidRPr="00DD1045" w14:paraId="1111B104" w14:textId="77777777" w:rsidTr="0034743E">
        <w:trPr>
          <w:trHeight w:val="398"/>
        </w:trPr>
        <w:tc>
          <w:tcPr>
            <w:tcW w:w="1848" w:type="dxa"/>
            <w:tcBorders>
              <w:left w:val="nil"/>
            </w:tcBorders>
            <w:shd w:val="clear" w:color="auto" w:fill="7F7F7F" w:themeFill="text1" w:themeFillTint="80"/>
            <w:vAlign w:val="center"/>
          </w:tcPr>
          <w:p w14:paraId="442CE16B" w14:textId="3FDA7C61" w:rsidR="002F6667" w:rsidRPr="00DD1045" w:rsidRDefault="002F6667" w:rsidP="0034743E">
            <w:pPr>
              <w:pStyle w:val="ARDotpoints"/>
              <w:numPr>
                <w:ilvl w:val="0"/>
                <w:numId w:val="0"/>
              </w:numPr>
              <w:jc w:val="center"/>
              <w:rPr>
                <w:color w:val="FFFFFF" w:themeColor="background1"/>
              </w:rPr>
            </w:pPr>
            <w:r>
              <w:rPr>
                <w:color w:val="FFFFFF" w:themeColor="background1"/>
              </w:rPr>
              <w:t>Risk and Audit Committee member</w:t>
            </w:r>
          </w:p>
        </w:tc>
        <w:tc>
          <w:tcPr>
            <w:tcW w:w="2268" w:type="dxa"/>
            <w:tcBorders>
              <w:right w:val="nil"/>
            </w:tcBorders>
            <w:shd w:val="clear" w:color="auto" w:fill="7F7F7F" w:themeFill="text1" w:themeFillTint="80"/>
            <w:vAlign w:val="center"/>
          </w:tcPr>
          <w:p w14:paraId="143A0655" w14:textId="123988E4" w:rsidR="002F6667" w:rsidRPr="00DD1045" w:rsidRDefault="002F6667" w:rsidP="0034743E">
            <w:pPr>
              <w:pStyle w:val="ARDotpoints"/>
              <w:numPr>
                <w:ilvl w:val="0"/>
                <w:numId w:val="0"/>
              </w:numPr>
              <w:jc w:val="center"/>
              <w:rPr>
                <w:color w:val="FFFFFF" w:themeColor="background1"/>
              </w:rPr>
            </w:pPr>
            <w:r>
              <w:rPr>
                <w:color w:val="FFFFFF" w:themeColor="background1"/>
              </w:rPr>
              <w:t>Risk and Audit Committee role</w:t>
            </w:r>
          </w:p>
        </w:tc>
      </w:tr>
      <w:tr w:rsidR="00E5429A" w:rsidRPr="00DD1045" w14:paraId="5B11C30B" w14:textId="77777777" w:rsidTr="0034743E">
        <w:trPr>
          <w:trHeight w:val="159"/>
        </w:trPr>
        <w:tc>
          <w:tcPr>
            <w:tcW w:w="1848" w:type="dxa"/>
            <w:tcBorders>
              <w:left w:val="nil"/>
            </w:tcBorders>
            <w:vAlign w:val="center"/>
          </w:tcPr>
          <w:p w14:paraId="38747F2A" w14:textId="05F6AB99" w:rsidR="002F6667" w:rsidRDefault="002F6667" w:rsidP="00B318DB">
            <w:pPr>
              <w:pStyle w:val="ARDotpoints"/>
              <w:numPr>
                <w:ilvl w:val="0"/>
                <w:numId w:val="0"/>
              </w:numPr>
              <w:jc w:val="center"/>
            </w:pPr>
            <w:r>
              <w:t>Sarah Morris</w:t>
            </w:r>
          </w:p>
        </w:tc>
        <w:tc>
          <w:tcPr>
            <w:tcW w:w="2268" w:type="dxa"/>
            <w:tcBorders>
              <w:right w:val="nil"/>
            </w:tcBorders>
            <w:vAlign w:val="center"/>
          </w:tcPr>
          <w:p w14:paraId="683F2F98" w14:textId="205EE9A6" w:rsidR="002F6667" w:rsidRPr="00DD1045" w:rsidRDefault="002F6667" w:rsidP="00B318DB">
            <w:pPr>
              <w:pStyle w:val="ARDotpoints"/>
              <w:numPr>
                <w:ilvl w:val="0"/>
                <w:numId w:val="0"/>
              </w:numPr>
              <w:jc w:val="center"/>
            </w:pPr>
            <w:r>
              <w:t>Committee Chair</w:t>
            </w:r>
          </w:p>
        </w:tc>
      </w:tr>
      <w:tr w:rsidR="00E5429A" w:rsidRPr="00DD1045" w14:paraId="1C8D3FC3" w14:textId="77777777" w:rsidTr="0034743E">
        <w:trPr>
          <w:trHeight w:val="159"/>
        </w:trPr>
        <w:tc>
          <w:tcPr>
            <w:tcW w:w="1848" w:type="dxa"/>
            <w:tcBorders>
              <w:left w:val="nil"/>
            </w:tcBorders>
            <w:vAlign w:val="center"/>
          </w:tcPr>
          <w:p w14:paraId="6DF51019" w14:textId="721D42AE" w:rsidR="002F6667" w:rsidRPr="00DD1045" w:rsidRDefault="002F6667" w:rsidP="00B318DB">
            <w:pPr>
              <w:pStyle w:val="ARDotpoints"/>
              <w:numPr>
                <w:ilvl w:val="0"/>
                <w:numId w:val="0"/>
              </w:numPr>
              <w:jc w:val="center"/>
            </w:pPr>
            <w:r>
              <w:t>Dr Anthony Lynham</w:t>
            </w:r>
          </w:p>
        </w:tc>
        <w:tc>
          <w:tcPr>
            <w:tcW w:w="2268" w:type="dxa"/>
            <w:tcBorders>
              <w:right w:val="nil"/>
            </w:tcBorders>
            <w:vAlign w:val="center"/>
          </w:tcPr>
          <w:p w14:paraId="1FD72AAF" w14:textId="29F535C7" w:rsidR="002F6667" w:rsidRPr="00DD1045" w:rsidRDefault="002F6667" w:rsidP="00B318DB">
            <w:pPr>
              <w:pStyle w:val="ARDotpoints"/>
              <w:numPr>
                <w:ilvl w:val="0"/>
                <w:numId w:val="0"/>
              </w:numPr>
              <w:jc w:val="center"/>
            </w:pPr>
            <w:r>
              <w:t>Independent non-executive member</w:t>
            </w:r>
          </w:p>
        </w:tc>
      </w:tr>
      <w:tr w:rsidR="00E5429A" w:rsidRPr="00DD1045" w14:paraId="60B4B867" w14:textId="77777777" w:rsidTr="0034743E">
        <w:trPr>
          <w:trHeight w:val="159"/>
        </w:trPr>
        <w:tc>
          <w:tcPr>
            <w:tcW w:w="1848" w:type="dxa"/>
            <w:tcBorders>
              <w:left w:val="nil"/>
            </w:tcBorders>
            <w:vAlign w:val="center"/>
          </w:tcPr>
          <w:p w14:paraId="5BE69784" w14:textId="5FEF7440" w:rsidR="002F6667" w:rsidRDefault="002F6667" w:rsidP="00B318DB">
            <w:pPr>
              <w:pStyle w:val="ARDotpoints"/>
              <w:numPr>
                <w:ilvl w:val="0"/>
                <w:numId w:val="0"/>
              </w:numPr>
              <w:jc w:val="center"/>
            </w:pPr>
            <w:r>
              <w:lastRenderedPageBreak/>
              <w:t>Jacqueline King</w:t>
            </w:r>
          </w:p>
        </w:tc>
        <w:tc>
          <w:tcPr>
            <w:tcW w:w="2268" w:type="dxa"/>
            <w:tcBorders>
              <w:right w:val="nil"/>
            </w:tcBorders>
            <w:vAlign w:val="center"/>
          </w:tcPr>
          <w:p w14:paraId="384F9931" w14:textId="0047D82D" w:rsidR="002F6667" w:rsidRDefault="002F6667" w:rsidP="00B318DB">
            <w:pPr>
              <w:pStyle w:val="ARDotpoints"/>
              <w:numPr>
                <w:ilvl w:val="0"/>
                <w:numId w:val="0"/>
              </w:numPr>
              <w:jc w:val="center"/>
            </w:pPr>
            <w:r>
              <w:t>Independent non-executive member</w:t>
            </w:r>
          </w:p>
        </w:tc>
      </w:tr>
      <w:tr w:rsidR="00897033" w:rsidRPr="00DD1045" w14:paraId="158BCECB" w14:textId="77777777" w:rsidTr="0034743E">
        <w:trPr>
          <w:trHeight w:val="159"/>
        </w:trPr>
        <w:tc>
          <w:tcPr>
            <w:tcW w:w="1848" w:type="dxa"/>
            <w:tcBorders>
              <w:left w:val="nil"/>
              <w:bottom w:val="single" w:sz="8" w:space="0" w:color="E7E6E6"/>
            </w:tcBorders>
            <w:vAlign w:val="center"/>
          </w:tcPr>
          <w:p w14:paraId="63B3DEB3" w14:textId="34D0C386" w:rsidR="002F6667" w:rsidRDefault="002F6667" w:rsidP="00B318DB">
            <w:pPr>
              <w:pStyle w:val="ARDotpoints"/>
              <w:numPr>
                <w:ilvl w:val="0"/>
                <w:numId w:val="0"/>
              </w:numPr>
              <w:jc w:val="center"/>
            </w:pPr>
            <w:r>
              <w:t>Stephen Havas</w:t>
            </w:r>
          </w:p>
        </w:tc>
        <w:tc>
          <w:tcPr>
            <w:tcW w:w="2268" w:type="dxa"/>
            <w:tcBorders>
              <w:bottom w:val="single" w:sz="8" w:space="0" w:color="E7E6E6"/>
              <w:right w:val="nil"/>
            </w:tcBorders>
            <w:vAlign w:val="center"/>
          </w:tcPr>
          <w:p w14:paraId="06736F91" w14:textId="75E6122D" w:rsidR="002F6667" w:rsidRDefault="002F6667" w:rsidP="00B318DB">
            <w:pPr>
              <w:pStyle w:val="ARDotpoints"/>
              <w:numPr>
                <w:ilvl w:val="0"/>
                <w:numId w:val="0"/>
              </w:numPr>
              <w:jc w:val="center"/>
            </w:pPr>
            <w:r>
              <w:t>Independent non-executive member</w:t>
            </w:r>
          </w:p>
        </w:tc>
      </w:tr>
      <w:tr w:rsidR="00897033" w:rsidRPr="00DD1045" w14:paraId="7F9E480F" w14:textId="77777777" w:rsidTr="0034743E">
        <w:trPr>
          <w:trHeight w:val="159"/>
        </w:trPr>
        <w:tc>
          <w:tcPr>
            <w:tcW w:w="1848" w:type="dxa"/>
            <w:tcBorders>
              <w:left w:val="nil"/>
              <w:bottom w:val="single" w:sz="18" w:space="0" w:color="E7E6E6"/>
            </w:tcBorders>
            <w:vAlign w:val="center"/>
          </w:tcPr>
          <w:p w14:paraId="72ADC689" w14:textId="65B2577C" w:rsidR="002F6667" w:rsidRDefault="002F6667" w:rsidP="00B318DB">
            <w:pPr>
              <w:pStyle w:val="ARDotpoints"/>
              <w:numPr>
                <w:ilvl w:val="0"/>
                <w:numId w:val="0"/>
              </w:numPr>
              <w:jc w:val="center"/>
            </w:pPr>
            <w:r>
              <w:t>Kerriann Dear</w:t>
            </w:r>
          </w:p>
        </w:tc>
        <w:tc>
          <w:tcPr>
            <w:tcW w:w="2268" w:type="dxa"/>
            <w:tcBorders>
              <w:bottom w:val="single" w:sz="18" w:space="0" w:color="E7E6E6"/>
              <w:right w:val="nil"/>
            </w:tcBorders>
            <w:vAlign w:val="center"/>
          </w:tcPr>
          <w:p w14:paraId="0FA67334" w14:textId="157661EC" w:rsidR="002F6667" w:rsidRDefault="002F6667" w:rsidP="00B318DB">
            <w:pPr>
              <w:pStyle w:val="ARDotpoints"/>
              <w:numPr>
                <w:ilvl w:val="0"/>
                <w:numId w:val="0"/>
              </w:numPr>
              <w:jc w:val="center"/>
            </w:pPr>
            <w:r>
              <w:t>Independent non-executive member</w:t>
            </w:r>
          </w:p>
        </w:tc>
      </w:tr>
    </w:tbl>
    <w:p w14:paraId="619B49F1" w14:textId="77777777" w:rsidR="002F6667" w:rsidRPr="002F6667" w:rsidRDefault="002F6667" w:rsidP="002F6667">
      <w:pPr>
        <w:rPr>
          <w:sz w:val="22"/>
          <w:szCs w:val="22"/>
          <w:lang w:eastAsia="en-AU"/>
        </w:rPr>
      </w:pPr>
      <w:r w:rsidRPr="002F6667">
        <w:rPr>
          <w:lang w:eastAsia="en-AU"/>
        </w:rPr>
        <w:t> </w:t>
      </w:r>
    </w:p>
    <w:p w14:paraId="1D7094F8" w14:textId="77777777" w:rsidR="002F6667" w:rsidRPr="002F6667" w:rsidRDefault="002F6667" w:rsidP="002F6667">
      <w:pPr>
        <w:rPr>
          <w:sz w:val="22"/>
          <w:szCs w:val="22"/>
          <w:lang w:eastAsia="en-AU"/>
        </w:rPr>
      </w:pPr>
      <w:r w:rsidRPr="002F6667">
        <w:rPr>
          <w:lang w:eastAsia="en-AU"/>
        </w:rPr>
        <w:t>The CEO, Deputy CEO, Chief Legal Officer (Company Secretary), internal audit, external audit and Head of Risk and Assurance all have a standing invitation to attend Risk and Audit Committee meetings. Members of senior management are invited where required to discuss key risk areas. </w:t>
      </w:r>
    </w:p>
    <w:p w14:paraId="030FAF96" w14:textId="3A5E6002" w:rsidR="002F6667" w:rsidRPr="002F6667" w:rsidRDefault="002F6667" w:rsidP="002F6667">
      <w:pPr>
        <w:rPr>
          <w:sz w:val="22"/>
          <w:szCs w:val="22"/>
          <w:lang w:eastAsia="en-AU"/>
        </w:rPr>
      </w:pPr>
      <w:r w:rsidRPr="002F6667">
        <w:rPr>
          <w:lang w:eastAsia="en-AU"/>
        </w:rPr>
        <w:t>The Committee meet</w:t>
      </w:r>
      <w:r w:rsidR="002D5B6D">
        <w:rPr>
          <w:lang w:eastAsia="en-AU"/>
        </w:rPr>
        <w:t>s</w:t>
      </w:r>
      <w:r w:rsidRPr="002F6667">
        <w:rPr>
          <w:lang w:eastAsia="en-AU"/>
        </w:rPr>
        <w:t xml:space="preserve"> quarterly and during 2023</w:t>
      </w:r>
      <w:r w:rsidR="00DB5114">
        <w:t>–</w:t>
      </w:r>
      <w:r w:rsidRPr="002F6667">
        <w:rPr>
          <w:lang w:eastAsia="en-AU"/>
        </w:rPr>
        <w:t xml:space="preserve">2024 met </w:t>
      </w:r>
      <w:r w:rsidR="00E50AE8">
        <w:rPr>
          <w:lang w:eastAsia="en-AU"/>
        </w:rPr>
        <w:t>four</w:t>
      </w:r>
      <w:r w:rsidRPr="002F6667">
        <w:rPr>
          <w:lang w:eastAsia="en-AU"/>
        </w:rPr>
        <w:t xml:space="preserve"> times, fulfilling its responsibilities as per the Risk and Audit Committee Charter. Key achievements included: </w:t>
      </w:r>
    </w:p>
    <w:p w14:paraId="0BCFB788" w14:textId="77777777" w:rsidR="002F6667" w:rsidRPr="002F6667" w:rsidRDefault="002F6667" w:rsidP="002F6667">
      <w:pPr>
        <w:pStyle w:val="ARDotpoints"/>
        <w:ind w:left="584" w:hanging="357"/>
      </w:pPr>
      <w:r w:rsidRPr="002F6667">
        <w:rPr>
          <w:lang w:eastAsia="en-AU"/>
        </w:rPr>
        <w:t xml:space="preserve">reviewing the </w:t>
      </w:r>
      <w:r w:rsidRPr="002F6667">
        <w:t>effectiveness of WorkCover’s risk and compliance frameworks </w:t>
      </w:r>
    </w:p>
    <w:p w14:paraId="3AC08C10" w14:textId="50596837" w:rsidR="002F6667" w:rsidRPr="002F6667" w:rsidRDefault="002F6667" w:rsidP="002F6667">
      <w:pPr>
        <w:pStyle w:val="ARDotpoints"/>
        <w:ind w:left="584" w:hanging="357"/>
      </w:pPr>
      <w:r w:rsidRPr="002F6667">
        <w:t>endorsing the 2022</w:t>
      </w:r>
      <w:r w:rsidR="003E678E">
        <w:t>–20</w:t>
      </w:r>
      <w:r w:rsidRPr="002F6667">
        <w:t>23 Financial Statements for WorkCover Queensland and the WorkCover Employing Office </w:t>
      </w:r>
    </w:p>
    <w:p w14:paraId="07CA205E" w14:textId="3F80CE34" w:rsidR="002F6667" w:rsidRPr="002F6667" w:rsidRDefault="002F6667" w:rsidP="002F6667">
      <w:pPr>
        <w:pStyle w:val="ARDotpoints"/>
        <w:ind w:left="584" w:hanging="357"/>
      </w:pPr>
      <w:r w:rsidRPr="002F6667">
        <w:t>approving the 2023</w:t>
      </w:r>
      <w:r w:rsidR="003E678E">
        <w:t>–20</w:t>
      </w:r>
      <w:r w:rsidRPr="002F6667">
        <w:t>24 Internal Audit Plan </w:t>
      </w:r>
    </w:p>
    <w:p w14:paraId="7048632D" w14:textId="77777777" w:rsidR="002F6667" w:rsidRPr="002F6667" w:rsidRDefault="002F6667" w:rsidP="002F6667">
      <w:pPr>
        <w:pStyle w:val="ARDotpoints"/>
        <w:ind w:left="584" w:hanging="357"/>
      </w:pPr>
      <w:r w:rsidRPr="002F6667">
        <w:t>approving the Internal Audit Charter </w:t>
      </w:r>
    </w:p>
    <w:p w14:paraId="2411BBEC" w14:textId="77777777" w:rsidR="002F6667" w:rsidRPr="002F6667" w:rsidRDefault="002F6667" w:rsidP="002F6667">
      <w:pPr>
        <w:pStyle w:val="ARDotpoints"/>
        <w:ind w:left="584" w:hanging="357"/>
      </w:pPr>
      <w:r w:rsidRPr="002F6667">
        <w:t>endorsing the Risk and Audit Committee Charter </w:t>
      </w:r>
    </w:p>
    <w:p w14:paraId="576308E7" w14:textId="77777777" w:rsidR="002F6667" w:rsidRPr="002F6667" w:rsidRDefault="002F6667" w:rsidP="002F6667">
      <w:pPr>
        <w:pStyle w:val="ARDotpoints"/>
        <w:ind w:left="584" w:hanging="357"/>
      </w:pPr>
      <w:r w:rsidRPr="002F6667">
        <w:t>reviewing and approving the Risk Appetite Statements </w:t>
      </w:r>
    </w:p>
    <w:p w14:paraId="0D595A4A" w14:textId="77777777" w:rsidR="002F6667" w:rsidRPr="002F6667" w:rsidRDefault="002F6667" w:rsidP="002F6667">
      <w:pPr>
        <w:pStyle w:val="ARDotpoints"/>
        <w:ind w:left="584" w:hanging="357"/>
      </w:pPr>
      <w:r w:rsidRPr="002F6667">
        <w:t>endorsing the Risk Management policy  </w:t>
      </w:r>
    </w:p>
    <w:p w14:paraId="37E99097" w14:textId="77777777" w:rsidR="002F6667" w:rsidRPr="00133E2D" w:rsidRDefault="002F6667" w:rsidP="002F6667">
      <w:pPr>
        <w:pStyle w:val="ARDotpoints"/>
        <w:ind w:left="584" w:hanging="357"/>
        <w:rPr>
          <w:sz w:val="22"/>
          <w:szCs w:val="22"/>
          <w:lang w:eastAsia="en-AU"/>
        </w:rPr>
      </w:pPr>
      <w:r w:rsidRPr="002F6667">
        <w:t>approving the Compliance policy, Fraud and Corruption policy, Environmental policy, Ethics policy, and Public Interest Disclosure</w:t>
      </w:r>
      <w:r w:rsidRPr="002F6667">
        <w:rPr>
          <w:lang w:eastAsia="en-AU"/>
        </w:rPr>
        <w:t xml:space="preserve"> (PID) policy. </w:t>
      </w:r>
    </w:p>
    <w:p w14:paraId="6E0B0C31" w14:textId="77777777" w:rsidR="00133E2D" w:rsidRPr="002F6667" w:rsidRDefault="00133E2D" w:rsidP="00792B10">
      <w:pPr>
        <w:pStyle w:val="ARDotpoints"/>
        <w:numPr>
          <w:ilvl w:val="0"/>
          <w:numId w:val="0"/>
        </w:numPr>
        <w:rPr>
          <w:sz w:val="22"/>
          <w:szCs w:val="22"/>
          <w:lang w:eastAsia="en-AU"/>
        </w:rPr>
      </w:pPr>
    </w:p>
    <w:p w14:paraId="0AFE03D5" w14:textId="7A6C528F" w:rsidR="009F2C89" w:rsidRDefault="009F2C89" w:rsidP="009F2C89">
      <w:pPr>
        <w:pStyle w:val="ARHeading1"/>
      </w:pPr>
      <w:bookmarkStart w:id="123" w:name="_Toc172009743"/>
      <w:r>
        <w:t xml:space="preserve">Employer compliance </w:t>
      </w:r>
      <w:bookmarkEnd w:id="123"/>
    </w:p>
    <w:p w14:paraId="2EF55A4C" w14:textId="77777777" w:rsidR="00792B10" w:rsidRDefault="6CC2DA3E">
      <w:r>
        <w:t xml:space="preserve">WorkCover has a dedicated customer audit and intelligence team that works with Queensland employers to ensure they are aware of their obligations to maintain adequate cover when </w:t>
      </w:r>
    </w:p>
    <w:p w14:paraId="4DE5AA51" w14:textId="10913D9D" w:rsidR="009F2C89" w:rsidRDefault="6CC2DA3E">
      <w:r>
        <w:t xml:space="preserve">engaging workers. The team is responsible for auditing Queensland businesses, as well as managing WorkCover’s uninsured </w:t>
      </w:r>
      <w:r w:rsidR="647A48FF">
        <w:t>employer compliance. The team maintains a balanced compliance strategy by providing targeted education and monitoring of employer compliance across the state</w:t>
      </w:r>
      <w:r w:rsidR="005925EA">
        <w:t>, informed by data sharing arrangements with a number of other government agencies</w:t>
      </w:r>
      <w:r w:rsidR="647A48FF">
        <w:t xml:space="preserve">. </w:t>
      </w:r>
    </w:p>
    <w:p w14:paraId="2E23E8DF" w14:textId="27657F3D" w:rsidR="00012ED9" w:rsidRPr="00012ED9" w:rsidRDefault="733F33B3" w:rsidP="004702D4">
      <w:pPr>
        <w:pStyle w:val="ARSub-heading1"/>
        <w:rPr>
          <w:lang w:eastAsia="en-AU"/>
        </w:rPr>
      </w:pPr>
      <w:r w:rsidRPr="2C246FFE">
        <w:rPr>
          <w:lang w:eastAsia="en-AU"/>
        </w:rPr>
        <w:t>Compliance Audits</w:t>
      </w:r>
    </w:p>
    <w:p w14:paraId="6E250259" w14:textId="40738D1A" w:rsidR="00012ED9" w:rsidRPr="00A61D0E" w:rsidRDefault="00012ED9" w:rsidP="00D1345D">
      <w:pPr>
        <w:rPr>
          <w:lang w:eastAsia="en-AU"/>
        </w:rPr>
      </w:pPr>
      <w:r w:rsidRPr="00012ED9">
        <w:rPr>
          <w:lang w:eastAsia="en-AU"/>
        </w:rPr>
        <w:t>In 2023–2024</w:t>
      </w:r>
      <w:r w:rsidR="00FA4C94">
        <w:rPr>
          <w:lang w:eastAsia="en-AU"/>
        </w:rPr>
        <w:t xml:space="preserve"> we </w:t>
      </w:r>
      <w:r w:rsidR="00FA4C94" w:rsidRPr="00A61D0E">
        <w:rPr>
          <w:lang w:eastAsia="en-AU"/>
        </w:rPr>
        <w:t xml:space="preserve">conducted 621 </w:t>
      </w:r>
      <w:r w:rsidR="00B84371" w:rsidRPr="00A61D0E">
        <w:rPr>
          <w:lang w:eastAsia="en-AU"/>
        </w:rPr>
        <w:t xml:space="preserve">targeted </w:t>
      </w:r>
      <w:r w:rsidR="00FA4C94" w:rsidRPr="00A61D0E">
        <w:rPr>
          <w:lang w:eastAsia="en-AU"/>
        </w:rPr>
        <w:t xml:space="preserve">compliance audits for Queensland employers, with those </w:t>
      </w:r>
      <w:r w:rsidR="005515CC" w:rsidRPr="00A61D0E">
        <w:rPr>
          <w:lang w:eastAsia="en-AU"/>
        </w:rPr>
        <w:t xml:space="preserve">selected having a 94% non-compliance rate. The total amount of premium and penalties raised from these desktop audit activities was $17.66M. </w:t>
      </w:r>
    </w:p>
    <w:p w14:paraId="1CD80D64" w14:textId="0A35C634" w:rsidR="00012ED9" w:rsidRPr="00A61D0E" w:rsidRDefault="00012ED9" w:rsidP="004702D4">
      <w:pPr>
        <w:pStyle w:val="ARSub-heading1"/>
        <w:rPr>
          <w:lang w:eastAsia="en-AU"/>
        </w:rPr>
      </w:pPr>
      <w:r w:rsidRPr="00A61D0E">
        <w:rPr>
          <w:lang w:eastAsia="en-AU"/>
        </w:rPr>
        <w:t>Site Visits and Uninsured Employers</w:t>
      </w:r>
    </w:p>
    <w:p w14:paraId="708958B1" w14:textId="6A97FAEE" w:rsidR="00D1345D" w:rsidRPr="00A61D0E" w:rsidRDefault="00D1345D" w:rsidP="00553091">
      <w:pPr>
        <w:rPr>
          <w:lang w:eastAsia="en-AU"/>
        </w:rPr>
      </w:pPr>
      <w:r w:rsidRPr="00A61D0E">
        <w:rPr>
          <w:lang w:eastAsia="en-AU"/>
        </w:rPr>
        <w:t>Industry trend information and data mining were used to select 539 employer</w:t>
      </w:r>
      <w:r w:rsidR="00BE794A" w:rsidRPr="00A61D0E">
        <w:rPr>
          <w:lang w:eastAsia="en-AU"/>
        </w:rPr>
        <w:t xml:space="preserve"> site visits, with an additional 1,442 provisional coverage and industry classification reviews conducted. </w:t>
      </w:r>
      <w:r w:rsidR="000C1527" w:rsidRPr="00A61D0E">
        <w:rPr>
          <w:lang w:eastAsia="en-AU"/>
        </w:rPr>
        <w:t>These efforts result</w:t>
      </w:r>
      <w:r w:rsidR="00553091" w:rsidRPr="00A61D0E">
        <w:rPr>
          <w:lang w:eastAsia="en-AU"/>
        </w:rPr>
        <w:t>ed</w:t>
      </w:r>
      <w:r w:rsidR="000C1527" w:rsidRPr="00A61D0E">
        <w:rPr>
          <w:lang w:eastAsia="en-AU"/>
        </w:rPr>
        <w:t xml:space="preserve"> in</w:t>
      </w:r>
      <w:r w:rsidR="00225443" w:rsidRPr="00A61D0E">
        <w:rPr>
          <w:lang w:eastAsia="en-AU"/>
        </w:rPr>
        <w:t>:</w:t>
      </w:r>
    </w:p>
    <w:p w14:paraId="35E9E854" w14:textId="2DC0632E" w:rsidR="00012ED9" w:rsidRPr="00A61D0E" w:rsidRDefault="00012ED9" w:rsidP="00553091">
      <w:pPr>
        <w:pStyle w:val="ARDotpoints"/>
        <w:rPr>
          <w:lang w:eastAsia="en-AU"/>
        </w:rPr>
      </w:pPr>
      <w:r w:rsidRPr="00A61D0E">
        <w:rPr>
          <w:lang w:eastAsia="en-AU"/>
        </w:rPr>
        <w:t>$682</w:t>
      </w:r>
      <w:r w:rsidR="00D97C6B" w:rsidRPr="00A61D0E">
        <w:rPr>
          <w:lang w:eastAsia="en-AU"/>
        </w:rPr>
        <w:t>,000</w:t>
      </w:r>
      <w:r w:rsidRPr="00A61D0E">
        <w:rPr>
          <w:lang w:eastAsia="en-AU"/>
        </w:rPr>
        <w:t xml:space="preserve"> in unpaid premium and penalties identified via employer site visit activities</w:t>
      </w:r>
    </w:p>
    <w:p w14:paraId="69829D01" w14:textId="331FDB26" w:rsidR="00012ED9" w:rsidRPr="00A61D0E" w:rsidRDefault="00012ED9" w:rsidP="00553091">
      <w:pPr>
        <w:pStyle w:val="ARDotpoints"/>
        <w:rPr>
          <w:lang w:eastAsia="en-AU"/>
        </w:rPr>
      </w:pPr>
      <w:r w:rsidRPr="00A61D0E">
        <w:rPr>
          <w:lang w:eastAsia="en-AU"/>
        </w:rPr>
        <w:t>$8.99M additional premium and penalties from uninsured and under-insured employers</w:t>
      </w:r>
      <w:r w:rsidR="00553091" w:rsidRPr="00A61D0E">
        <w:rPr>
          <w:lang w:eastAsia="en-AU"/>
        </w:rPr>
        <w:t>.</w:t>
      </w:r>
    </w:p>
    <w:p w14:paraId="52CE1BEF" w14:textId="385DCB33" w:rsidR="00012ED9" w:rsidRPr="00012ED9" w:rsidRDefault="00FB692C" w:rsidP="00553091">
      <w:pPr>
        <w:rPr>
          <w:lang w:eastAsia="en-AU"/>
        </w:rPr>
      </w:pPr>
      <w:r w:rsidRPr="00A61D0E">
        <w:rPr>
          <w:lang w:eastAsia="en-AU"/>
        </w:rPr>
        <w:t xml:space="preserve">Compliance advisors identified </w:t>
      </w:r>
      <w:r w:rsidR="00DD0286" w:rsidRPr="00A61D0E">
        <w:rPr>
          <w:lang w:eastAsia="en-AU"/>
        </w:rPr>
        <w:t xml:space="preserve">259 new uninsured claims, leading to </w:t>
      </w:r>
      <w:r w:rsidR="00553091" w:rsidRPr="00A61D0E">
        <w:rPr>
          <w:lang w:eastAsia="en-AU"/>
        </w:rPr>
        <w:t>$5.37M in uninsured claims costs and penalties being recovered</w:t>
      </w:r>
      <w:r w:rsidR="00553091">
        <w:rPr>
          <w:lang w:eastAsia="en-AU"/>
        </w:rPr>
        <w:t xml:space="preserve"> against employers who failed to hold compulsory accident insurance policies at the time of lodging a compensation claim. </w:t>
      </w:r>
    </w:p>
    <w:p w14:paraId="02744123" w14:textId="52D7A096" w:rsidR="008779F5" w:rsidRPr="00DD1045" w:rsidRDefault="00012ED9" w:rsidP="009F2C89">
      <w:r w:rsidRPr="00012ED9">
        <w:rPr>
          <w:lang w:eastAsia="en-AU"/>
        </w:rPr>
        <w:t>The total raised from all compliance program activities across the 2023</w:t>
      </w:r>
      <w:r w:rsidR="00236F4F">
        <w:rPr>
          <w:lang w:eastAsia="en-AU"/>
        </w:rPr>
        <w:t>–2024</w:t>
      </w:r>
      <w:r w:rsidRPr="00012ED9">
        <w:rPr>
          <w:lang w:eastAsia="en-AU"/>
        </w:rPr>
        <w:t xml:space="preserve"> financial year </w:t>
      </w:r>
      <w:r w:rsidR="00236F4F">
        <w:rPr>
          <w:lang w:eastAsia="en-AU"/>
        </w:rPr>
        <w:t>was</w:t>
      </w:r>
      <w:r w:rsidR="00236F4F" w:rsidRPr="00012ED9">
        <w:rPr>
          <w:lang w:eastAsia="en-AU"/>
        </w:rPr>
        <w:t xml:space="preserve"> </w:t>
      </w:r>
      <w:r w:rsidR="002E03C9">
        <w:rPr>
          <w:lang w:eastAsia="en-AU"/>
        </w:rPr>
        <w:t xml:space="preserve">more </w:t>
      </w:r>
      <w:r w:rsidR="002E03C9" w:rsidRPr="00A61D0E">
        <w:rPr>
          <w:lang w:eastAsia="en-AU"/>
        </w:rPr>
        <w:t xml:space="preserve">than </w:t>
      </w:r>
      <w:r w:rsidRPr="00A61D0E">
        <w:rPr>
          <w:lang w:eastAsia="en-AU"/>
        </w:rPr>
        <w:t>$32M</w:t>
      </w:r>
      <w:r w:rsidR="004702D4" w:rsidRPr="00A61D0E">
        <w:rPr>
          <w:lang w:eastAsia="en-AU"/>
        </w:rPr>
        <w:t>.</w:t>
      </w:r>
    </w:p>
    <w:p w14:paraId="4D4FA9DB" w14:textId="77777777" w:rsidR="00064361" w:rsidRPr="00DD1045" w:rsidRDefault="00064361" w:rsidP="009F2C89"/>
    <w:p w14:paraId="432E4F33" w14:textId="502CF223" w:rsidR="009F2C89" w:rsidRPr="00DD1045" w:rsidRDefault="003033C0" w:rsidP="009F2C89">
      <w:pPr>
        <w:pStyle w:val="ARHeading1"/>
      </w:pPr>
      <w:bookmarkStart w:id="124" w:name="_Toc172009744"/>
      <w:r>
        <w:t>Internal audit</w:t>
      </w:r>
      <w:bookmarkEnd w:id="124"/>
    </w:p>
    <w:p w14:paraId="7B38F3D8" w14:textId="77777777" w:rsidR="006A5B8C" w:rsidRDefault="006A5B8C" w:rsidP="008779F5">
      <w:pPr>
        <w:rPr>
          <w:rFonts w:ascii="Segoe UI" w:hAnsi="Segoe UI"/>
          <w:sz w:val="18"/>
          <w:szCs w:val="18"/>
        </w:rPr>
      </w:pPr>
      <w:r>
        <w:rPr>
          <w:rStyle w:val="normaltextrun"/>
          <w:rFonts w:cs="Segoe UI"/>
        </w:rPr>
        <w:t xml:space="preserve">The internal audit function is integral to the corporate governance framework and supports the Risk and Audit Committee by providing independent and objective risk- based assurance advice, with the purpose of evaluating and improving the effectiveness of WorkCover’s risk </w:t>
      </w:r>
      <w:r>
        <w:rPr>
          <w:rStyle w:val="normaltextrun"/>
          <w:rFonts w:cs="Segoe UI"/>
        </w:rPr>
        <w:lastRenderedPageBreak/>
        <w:t>management, control, and governance processes.</w:t>
      </w:r>
      <w:r>
        <w:rPr>
          <w:rStyle w:val="eop"/>
          <w:rFonts w:cs="Segoe UI"/>
        </w:rPr>
        <w:t> </w:t>
      </w:r>
    </w:p>
    <w:p w14:paraId="52EFABAA" w14:textId="756B906C" w:rsidR="006A5B8C" w:rsidRDefault="006A5B8C" w:rsidP="008779F5">
      <w:pPr>
        <w:rPr>
          <w:rFonts w:ascii="Segoe UI" w:hAnsi="Segoe UI"/>
          <w:sz w:val="18"/>
          <w:szCs w:val="18"/>
        </w:rPr>
      </w:pPr>
      <w:r>
        <w:rPr>
          <w:rStyle w:val="normaltextrun"/>
          <w:rFonts w:cs="Segoe UI"/>
        </w:rPr>
        <w:t>The internal audit function is currently outsourced to a third-party internal audit contractor, appointed by the Board. The internal audit function operates independently from management and WorkCover’s external auditor. The internal audit function operates under an approved internal audit charter which formalises the role, authority, responsibility, scope</w:t>
      </w:r>
      <w:r w:rsidR="00584C17">
        <w:rPr>
          <w:rStyle w:val="normaltextrun"/>
          <w:rFonts w:cs="Segoe UI"/>
        </w:rPr>
        <w:t>,</w:t>
      </w:r>
      <w:r>
        <w:rPr>
          <w:rStyle w:val="normaltextrun"/>
          <w:rFonts w:cs="Segoe UI"/>
        </w:rPr>
        <w:t xml:space="preserve"> and operational framework of WorkCover’s internal audit function, consistent with relevant assurance and professional ethical standards. </w:t>
      </w:r>
      <w:r>
        <w:rPr>
          <w:rStyle w:val="eop"/>
          <w:rFonts w:cs="Segoe UI"/>
        </w:rPr>
        <w:t> </w:t>
      </w:r>
    </w:p>
    <w:p w14:paraId="4F997EE2" w14:textId="4E58139B" w:rsidR="006A5B8C" w:rsidRDefault="006A5B8C" w:rsidP="008779F5">
      <w:pPr>
        <w:rPr>
          <w:rFonts w:ascii="Segoe UI" w:hAnsi="Segoe UI"/>
          <w:sz w:val="18"/>
          <w:szCs w:val="18"/>
        </w:rPr>
      </w:pPr>
      <w:r>
        <w:rPr>
          <w:rStyle w:val="normaltextrun"/>
          <w:rFonts w:cs="Segoe UI"/>
        </w:rPr>
        <w:t xml:space="preserve">Each year, the internal audit contractor prepares an internal audit plan, which outlines the internal audit activities to be performed during a financial year. The Risk and Audit Committee approve the internal audit plan and monitor the performance of the internal audit function, with due regard to </w:t>
      </w:r>
      <w:r w:rsidRPr="00DB5543">
        <w:rPr>
          <w:rStyle w:val="normaltextrun"/>
          <w:rFonts w:cs="Segoe UI"/>
        </w:rPr>
        <w:t>the</w:t>
      </w:r>
      <w:r w:rsidRPr="00EA2E47">
        <w:rPr>
          <w:rStyle w:val="normaltextrun"/>
          <w:rFonts w:cs="Segoe UI"/>
          <w:i/>
          <w:iCs/>
        </w:rPr>
        <w:t xml:space="preserve"> </w:t>
      </w:r>
      <w:hyperlink r:id="rId41" w:tgtFrame="_blank" w:history="1">
        <w:r w:rsidRPr="00EA2E47">
          <w:rPr>
            <w:rStyle w:val="normaltextrun"/>
            <w:rFonts w:cs="Segoe UI"/>
            <w:i/>
            <w:iCs/>
            <w:u w:val="single"/>
          </w:rPr>
          <w:t>Audit committee guidelines: improving</w:t>
        </w:r>
      </w:hyperlink>
      <w:hyperlink r:id="rId42" w:history="1">
        <w:r w:rsidR="00BA5775" w:rsidRPr="003706DB">
          <w:rPr>
            <w:rStyle w:val="Hyperlink"/>
            <w:rFonts w:cs="Segoe UI"/>
            <w:i/>
            <w:iCs/>
          </w:rPr>
          <w:t xml:space="preserve"> </w:t>
        </w:r>
        <w:r w:rsidR="00BA5775" w:rsidRPr="00BA5775">
          <w:rPr>
            <w:rStyle w:val="Hyperlink"/>
            <w:rFonts w:cs="Segoe UI"/>
            <w:i/>
            <w:iCs/>
            <w:color w:val="auto"/>
          </w:rPr>
          <w:t xml:space="preserve">accountability and performance </w:t>
        </w:r>
        <w:r w:rsidR="00BA5775" w:rsidRPr="00BA5775">
          <w:rPr>
            <w:rStyle w:val="Hyperlink"/>
            <w:rFonts w:cs="Segoe UI"/>
            <w:color w:val="auto"/>
            <w:u w:val="none"/>
          </w:rPr>
          <w:t>(</w:t>
        </w:r>
        <w:r w:rsidR="00BA5775" w:rsidRPr="00BE4F5A">
          <w:rPr>
            <w:rStyle w:val="Hyperlink"/>
            <w:rFonts w:cs="Segoe UI"/>
            <w:color w:val="auto"/>
          </w:rPr>
          <w:t>https://s3.treasury.qld.gov.au/files/Audit-Committee-Guidelines.pdf</w:t>
        </w:r>
        <w:r w:rsidR="00BA5775" w:rsidRPr="00BA5775">
          <w:rPr>
            <w:rStyle w:val="Hyperlink"/>
            <w:rFonts w:cs="Segoe UI"/>
            <w:color w:val="auto"/>
            <w:u w:val="none"/>
          </w:rPr>
          <w:t>).</w:t>
        </w:r>
      </w:hyperlink>
      <w:r w:rsidR="00E50AE8">
        <w:rPr>
          <w:rStyle w:val="normaltextrun"/>
          <w:rFonts w:cs="Segoe UI"/>
        </w:rPr>
        <w:t xml:space="preserve"> Th</w:t>
      </w:r>
      <w:r>
        <w:rPr>
          <w:rStyle w:val="normaltextrun"/>
          <w:rFonts w:cs="Segoe UI"/>
        </w:rPr>
        <w:t>e 2023</w:t>
      </w:r>
      <w:r w:rsidR="00584C17">
        <w:t>–</w:t>
      </w:r>
      <w:r w:rsidR="00E50AE8">
        <w:rPr>
          <w:rStyle w:val="normaltextrun"/>
          <w:rFonts w:cs="Segoe UI"/>
        </w:rPr>
        <w:t>20</w:t>
      </w:r>
      <w:r>
        <w:rPr>
          <w:rStyle w:val="normaltextrun"/>
          <w:rFonts w:cs="Segoe UI"/>
        </w:rPr>
        <w:t>24 internal audit plan was approved during the August 2023 Risk and Audit Committee meeting, with the plan for the first quarter approved at the May 2023 Risk and Audit Committee meeting.</w:t>
      </w:r>
      <w:r>
        <w:rPr>
          <w:rStyle w:val="eop"/>
          <w:rFonts w:cs="Segoe UI"/>
        </w:rPr>
        <w:t> </w:t>
      </w:r>
    </w:p>
    <w:p w14:paraId="4EA5940B" w14:textId="0FB2F396" w:rsidR="006A5B8C" w:rsidRDefault="006A5B8C" w:rsidP="008779F5">
      <w:pPr>
        <w:rPr>
          <w:rStyle w:val="eop"/>
          <w:rFonts w:cs="Segoe UI"/>
        </w:rPr>
      </w:pPr>
      <w:r>
        <w:rPr>
          <w:rStyle w:val="normaltextrun"/>
          <w:rFonts w:cs="Segoe UI"/>
        </w:rPr>
        <w:t>During the 2023</w:t>
      </w:r>
      <w:r w:rsidR="00584C17">
        <w:t>–</w:t>
      </w:r>
      <w:r>
        <w:rPr>
          <w:rStyle w:val="normaltextrun"/>
          <w:rFonts w:cs="Segoe UI"/>
        </w:rPr>
        <w:t xml:space="preserve">2024 financial year, </w:t>
      </w:r>
      <w:r w:rsidR="00584C17">
        <w:rPr>
          <w:rStyle w:val="normaltextrun"/>
          <w:rFonts w:cs="Segoe UI"/>
        </w:rPr>
        <w:t xml:space="preserve">nine </w:t>
      </w:r>
      <w:r>
        <w:rPr>
          <w:rStyle w:val="normaltextrun"/>
          <w:rFonts w:cs="Segoe UI"/>
        </w:rPr>
        <w:t xml:space="preserve">internal audit engagements were completed as per the annual internal audit plan. At the completion of each engagement, the internal auditors report their findings and recommendations to the Risk and Audit Committee. </w:t>
      </w:r>
      <w:r w:rsidRPr="00BE4F5A">
        <w:rPr>
          <w:rStyle w:val="normaltextrun"/>
          <w:rFonts w:cs="Segoe UI"/>
        </w:rPr>
        <w:t>All recommendations arising from the completed internal audit engagements have either been implemented or, are on track to be implemented, within agreed timeframes.</w:t>
      </w:r>
      <w:r>
        <w:rPr>
          <w:rStyle w:val="normaltextrun"/>
          <w:rFonts w:cs="Segoe UI"/>
        </w:rPr>
        <w:t xml:space="preserve"> The internal audit plan’s coverage over WorkCover’s key risks is reviewed regularly through the use of an assurance map and discussions with key stakeholders.</w:t>
      </w:r>
      <w:r>
        <w:rPr>
          <w:rStyle w:val="eop"/>
          <w:rFonts w:cs="Segoe UI"/>
        </w:rPr>
        <w:t> </w:t>
      </w:r>
    </w:p>
    <w:p w14:paraId="292A2CF5" w14:textId="77777777" w:rsidR="008779F5" w:rsidRDefault="008779F5" w:rsidP="008779F5">
      <w:pPr>
        <w:rPr>
          <w:rFonts w:ascii="Segoe UI" w:hAnsi="Segoe UI"/>
          <w:sz w:val="18"/>
          <w:szCs w:val="18"/>
        </w:rPr>
      </w:pPr>
    </w:p>
    <w:p w14:paraId="0F50E173" w14:textId="7B566E54" w:rsidR="003033C0" w:rsidRDefault="003033C0" w:rsidP="003033C0">
      <w:pPr>
        <w:pStyle w:val="ARHeading1"/>
      </w:pPr>
      <w:bookmarkStart w:id="125" w:name="_Toc172009745"/>
      <w:r>
        <w:t>External audit</w:t>
      </w:r>
      <w:bookmarkEnd w:id="125"/>
    </w:p>
    <w:p w14:paraId="51517E5A" w14:textId="77777777" w:rsidR="006A5B8C" w:rsidRDefault="006A5B8C" w:rsidP="008779F5">
      <w:pPr>
        <w:rPr>
          <w:rFonts w:ascii="Segoe UI" w:hAnsi="Segoe UI"/>
          <w:sz w:val="18"/>
          <w:szCs w:val="18"/>
        </w:rPr>
      </w:pPr>
      <w:r>
        <w:rPr>
          <w:rStyle w:val="normaltextrun"/>
          <w:rFonts w:cs="Segoe UI"/>
        </w:rPr>
        <w:t xml:space="preserve">The external audit function for WorkCover is performed by the Queensland Audit Office (QAO) with recommendations reported and monitored by the Risk and Audit Committee. The external audit plan is approved by the Risk and Audit Committee each year with the current plan </w:t>
      </w:r>
      <w:r>
        <w:rPr>
          <w:rStyle w:val="normaltextrun"/>
          <w:rFonts w:cs="Segoe UI"/>
        </w:rPr>
        <w:t>approved at the November 2023 Risk and Audit Committee meeting.</w:t>
      </w:r>
      <w:r>
        <w:rPr>
          <w:rStyle w:val="eop"/>
          <w:rFonts w:cs="Segoe UI"/>
        </w:rPr>
        <w:t> </w:t>
      </w:r>
    </w:p>
    <w:p w14:paraId="3E6922E7" w14:textId="77777777" w:rsidR="006A5B8C" w:rsidRDefault="006A5B8C" w:rsidP="008779F5">
      <w:pPr>
        <w:rPr>
          <w:rStyle w:val="eop"/>
          <w:rFonts w:cs="Segoe UI"/>
        </w:rPr>
      </w:pPr>
      <w:r>
        <w:rPr>
          <w:rStyle w:val="normaltextrun"/>
          <w:rFonts w:cs="Segoe UI"/>
        </w:rPr>
        <w:t>Key findings from the external auditor can be found in the external audit report with our financial statements.</w:t>
      </w:r>
      <w:r>
        <w:rPr>
          <w:rStyle w:val="eop"/>
          <w:rFonts w:cs="Segoe UI"/>
        </w:rPr>
        <w:t> </w:t>
      </w:r>
    </w:p>
    <w:p w14:paraId="2B49D705" w14:textId="77777777" w:rsidR="008779F5" w:rsidRDefault="008779F5" w:rsidP="008779F5">
      <w:pPr>
        <w:rPr>
          <w:rFonts w:ascii="Segoe UI" w:hAnsi="Segoe UI"/>
          <w:sz w:val="18"/>
          <w:szCs w:val="18"/>
        </w:rPr>
      </w:pPr>
    </w:p>
    <w:p w14:paraId="041653E2" w14:textId="66F6C063" w:rsidR="003033C0" w:rsidRDefault="003033C0" w:rsidP="003033C0">
      <w:pPr>
        <w:pStyle w:val="ARHeading1"/>
      </w:pPr>
      <w:bookmarkStart w:id="126" w:name="_Toc172009746"/>
      <w:r>
        <w:t>External scrutiny</w:t>
      </w:r>
      <w:bookmarkEnd w:id="126"/>
    </w:p>
    <w:p w14:paraId="042C3434" w14:textId="0512B00C" w:rsidR="006A5B8C" w:rsidRDefault="006A5B8C" w:rsidP="006A5B8C">
      <w:pPr>
        <w:rPr>
          <w:rFonts w:ascii="Segoe UI" w:hAnsi="Segoe UI"/>
          <w:sz w:val="18"/>
          <w:szCs w:val="18"/>
        </w:rPr>
      </w:pPr>
      <w:r>
        <w:rPr>
          <w:rStyle w:val="normaltextrun"/>
          <w:rFonts w:cs="Segoe UI"/>
        </w:rPr>
        <w:t>WorkCover is subject to reviews and external audits conducted by external agencies (</w:t>
      </w:r>
      <w:r w:rsidR="00F5486D">
        <w:rPr>
          <w:rStyle w:val="normaltextrun"/>
          <w:rFonts w:cs="Segoe UI"/>
        </w:rPr>
        <w:t xml:space="preserve">including the Workers’ Compensation </w:t>
      </w:r>
      <w:r>
        <w:rPr>
          <w:rStyle w:val="normaltextrun"/>
          <w:rFonts w:cs="Segoe UI"/>
        </w:rPr>
        <w:t>Regulator</w:t>
      </w:r>
      <w:r w:rsidR="00F5486D">
        <w:rPr>
          <w:rStyle w:val="normaltextrun"/>
          <w:rFonts w:cs="Segoe UI"/>
        </w:rPr>
        <w:t>y Services</w:t>
      </w:r>
      <w:r w:rsidR="007910B3">
        <w:rPr>
          <w:rStyle w:val="normaltextrun"/>
          <w:rFonts w:cs="Segoe UI"/>
        </w:rPr>
        <w:t xml:space="preserve"> (WCRS)</w:t>
      </w:r>
      <w:r>
        <w:rPr>
          <w:rStyle w:val="normaltextrun"/>
          <w:rFonts w:cs="Segoe UI"/>
        </w:rPr>
        <w:t>, Queensland Audit Office</w:t>
      </w:r>
      <w:r w:rsidR="007910B3">
        <w:rPr>
          <w:rStyle w:val="normaltextrun"/>
          <w:rFonts w:cs="Segoe UI"/>
        </w:rPr>
        <w:t xml:space="preserve"> (QAO)</w:t>
      </w:r>
      <w:r>
        <w:rPr>
          <w:rStyle w:val="normaltextrun"/>
          <w:rFonts w:cs="Segoe UI"/>
        </w:rPr>
        <w:t xml:space="preserve">, Crime and Corruption Commission (CCC), Queensland Ombudsman). The </w:t>
      </w:r>
      <w:r>
        <w:rPr>
          <w:rStyle w:val="normaltextrun"/>
          <w:rFonts w:cs="Segoe UI"/>
          <w:i/>
          <w:iCs/>
        </w:rPr>
        <w:t>Workers’ Compensation and Rehabilitation Act 2003</w:t>
      </w:r>
      <w:r>
        <w:rPr>
          <w:rStyle w:val="normaltextrun"/>
          <w:rFonts w:cs="Segoe UI"/>
        </w:rPr>
        <w:t xml:space="preserve"> (WCRA), also prescribes the requirement for the Minister to ensure that a review of the workers’ compensation scheme is conducted at least once every five years. During the year an independent review of the scheme was completed, which was the third independent review of the scheme. The review found the scheme is still strong and identified several opportunities to address scheme trends and improve the process for workers. The Queensland Government subsequently released their response to the recommendations of the 2023 review in February 2024. WorkCover will work with the Regulator</w:t>
      </w:r>
      <w:r w:rsidR="00905845">
        <w:rPr>
          <w:rStyle w:val="normaltextrun"/>
          <w:rFonts w:cs="Segoe UI"/>
        </w:rPr>
        <w:t xml:space="preserve"> and external stakeholders</w:t>
      </w:r>
      <w:r>
        <w:rPr>
          <w:rStyle w:val="normaltextrun"/>
          <w:rFonts w:cs="Segoe UI"/>
        </w:rPr>
        <w:t xml:space="preserve"> to implement </w:t>
      </w:r>
      <w:r w:rsidR="000A31A1">
        <w:rPr>
          <w:rStyle w:val="normaltextrun"/>
          <w:rFonts w:cs="Segoe UI"/>
        </w:rPr>
        <w:t>the</w:t>
      </w:r>
      <w:r>
        <w:rPr>
          <w:rStyle w:val="normaltextrun"/>
          <w:rFonts w:cs="Segoe UI"/>
        </w:rPr>
        <w:t xml:space="preserve"> required actions.  </w:t>
      </w:r>
      <w:r>
        <w:rPr>
          <w:rStyle w:val="eop"/>
          <w:rFonts w:cs="Segoe UI"/>
        </w:rPr>
        <w:t> </w:t>
      </w:r>
    </w:p>
    <w:p w14:paraId="2E79A2EE" w14:textId="2BEED05E" w:rsidR="006A5B8C" w:rsidRDefault="006A5B8C" w:rsidP="006A5B8C">
      <w:pPr>
        <w:rPr>
          <w:rStyle w:val="eop"/>
          <w:rFonts w:cs="Segoe UI"/>
        </w:rPr>
      </w:pPr>
      <w:r>
        <w:rPr>
          <w:rStyle w:val="normaltextrun"/>
          <w:rFonts w:cs="Segoe UI"/>
        </w:rPr>
        <w:t>The Chair and CEO meet with the Minister on a regular basis to discuss relevant matters, including the quarterly report which includes progress against our Statement of Corporate Intent objectives. The CEO and Deputy CEO also meet quarterly with representatives from the Office of Industrial Relations and Queensland Treasury to discuss WorkCover’s financial and operational performance.</w:t>
      </w:r>
      <w:r>
        <w:rPr>
          <w:rStyle w:val="eop"/>
          <w:rFonts w:cs="Segoe UI"/>
        </w:rPr>
        <w:t> </w:t>
      </w:r>
      <w:r>
        <w:rPr>
          <w:rStyle w:val="normaltextrun"/>
          <w:rFonts w:cs="Segoe UI"/>
        </w:rPr>
        <w:t>WorkCover is subject to a range of external scrutiny (QAO, CCC, government regulatory agencies) and have complied with requirements of audits. </w:t>
      </w:r>
      <w:r>
        <w:rPr>
          <w:rStyle w:val="eop"/>
          <w:rFonts w:cs="Segoe UI"/>
        </w:rPr>
        <w:t> </w:t>
      </w:r>
    </w:p>
    <w:p w14:paraId="717794BC" w14:textId="77777777" w:rsidR="00D10E2B" w:rsidRDefault="00D10E2B" w:rsidP="006A5B8C">
      <w:pPr>
        <w:rPr>
          <w:rStyle w:val="eop"/>
          <w:rFonts w:cs="Segoe UI"/>
        </w:rPr>
      </w:pPr>
    </w:p>
    <w:p w14:paraId="46E81E20" w14:textId="1B761404" w:rsidR="003033C0" w:rsidRDefault="003033C0" w:rsidP="003033C0">
      <w:pPr>
        <w:pStyle w:val="ARHeading1"/>
      </w:pPr>
      <w:bookmarkStart w:id="127" w:name="_Toc172009748"/>
      <w:r>
        <w:t>Information systems and recordkeeping</w:t>
      </w:r>
      <w:bookmarkEnd w:id="127"/>
    </w:p>
    <w:p w14:paraId="62A03AFD" w14:textId="77777777" w:rsidR="00831DEB" w:rsidRDefault="00831DEB" w:rsidP="00831DEB">
      <w:pPr>
        <w:rPr>
          <w:rFonts w:ascii="Segoe UI" w:hAnsi="Segoe UI"/>
          <w:sz w:val="18"/>
          <w:szCs w:val="18"/>
        </w:rPr>
      </w:pPr>
      <w:r>
        <w:rPr>
          <w:rStyle w:val="normaltextrun"/>
          <w:rFonts w:cs="Segoe UI"/>
        </w:rPr>
        <w:t xml:space="preserve">WorkCover employees are responsible for keeping and maintaining records which are stored through WorkCover’s claims and policy </w:t>
      </w:r>
      <w:r>
        <w:rPr>
          <w:rStyle w:val="normaltextrun"/>
          <w:rFonts w:cs="Segoe UI"/>
        </w:rPr>
        <w:lastRenderedPageBreak/>
        <w:t xml:space="preserve">information system (claim and policy records) and through an integrated electronic records system for corporate records. Annual compliance training is completed to ensure all staff are aware of their obligations under the </w:t>
      </w:r>
      <w:r>
        <w:rPr>
          <w:rStyle w:val="normaltextrun"/>
          <w:rFonts w:cs="Segoe UI"/>
          <w:i/>
          <w:iCs/>
        </w:rPr>
        <w:t xml:space="preserve">Public Records Act 2002 </w:t>
      </w:r>
      <w:r>
        <w:rPr>
          <w:rStyle w:val="normaltextrun"/>
          <w:rFonts w:cs="Segoe UI"/>
        </w:rPr>
        <w:t>and Records Governance Policy. </w:t>
      </w:r>
      <w:r>
        <w:rPr>
          <w:rStyle w:val="eop"/>
          <w:rFonts w:cs="Segoe UI"/>
        </w:rPr>
        <w:t> </w:t>
      </w:r>
    </w:p>
    <w:p w14:paraId="3803DC0B" w14:textId="009A3DE0" w:rsidR="00831DEB" w:rsidRDefault="00831DEB" w:rsidP="00831DEB">
      <w:pPr>
        <w:rPr>
          <w:rFonts w:ascii="Segoe UI" w:hAnsi="Segoe UI"/>
          <w:sz w:val="18"/>
          <w:szCs w:val="18"/>
        </w:rPr>
      </w:pPr>
      <w:r>
        <w:rPr>
          <w:rStyle w:val="normaltextrun"/>
          <w:rFonts w:cs="Segoe UI"/>
        </w:rPr>
        <w:t xml:space="preserve">Public records are being retained in line with WorkCover’s Records Governance policy, and relevant Retention and Disposal </w:t>
      </w:r>
      <w:r w:rsidRPr="00EB0D2C">
        <w:rPr>
          <w:rStyle w:val="normaltextrun"/>
          <w:rFonts w:cs="Segoe UI"/>
        </w:rPr>
        <w:t>Schedules</w:t>
      </w:r>
      <w:r w:rsidR="00EB0D2C">
        <w:rPr>
          <w:rStyle w:val="normaltextrun"/>
          <w:rFonts w:cs="Segoe UI"/>
        </w:rPr>
        <w:t xml:space="preserve">. No records </w:t>
      </w:r>
      <w:r w:rsidRPr="00EB0D2C">
        <w:rPr>
          <w:rStyle w:val="normaltextrun"/>
          <w:rFonts w:cs="Segoe UI"/>
        </w:rPr>
        <w:t>were transferred to the Queensland State Archives during the 2023</w:t>
      </w:r>
      <w:r w:rsidR="007D3490" w:rsidRPr="00EB0D2C">
        <w:t>–2024</w:t>
      </w:r>
      <w:r w:rsidRPr="00EB0D2C">
        <w:rPr>
          <w:rStyle w:val="normaltextrun"/>
          <w:rFonts w:cs="Segoe UI"/>
        </w:rPr>
        <w:t xml:space="preserve"> financial year</w:t>
      </w:r>
      <w:r w:rsidR="00EB0D2C">
        <w:rPr>
          <w:rStyle w:val="normaltextrun"/>
          <w:rFonts w:cs="Segoe UI"/>
        </w:rPr>
        <w:t xml:space="preserve">. No breaches </w:t>
      </w:r>
      <w:r w:rsidR="00EB0D2C" w:rsidRPr="00EB0D2C">
        <w:rPr>
          <w:rStyle w:val="normaltextrun"/>
          <w:rFonts w:cs="Segoe UI"/>
        </w:rPr>
        <w:t>of</w:t>
      </w:r>
      <w:r w:rsidRPr="00EB0D2C">
        <w:rPr>
          <w:rStyle w:val="normaltextrun"/>
          <w:rFonts w:cs="Segoe UI"/>
        </w:rPr>
        <w:t xml:space="preserve"> the retention and disposal schedules</w:t>
      </w:r>
      <w:r>
        <w:rPr>
          <w:rStyle w:val="normaltextrun"/>
          <w:rFonts w:cs="Segoe UI"/>
        </w:rPr>
        <w:t xml:space="preserve"> have been reported during the year, with no records reported as missing or lost during the same period. </w:t>
      </w:r>
      <w:r>
        <w:rPr>
          <w:rStyle w:val="eop"/>
          <w:rFonts w:cs="Segoe UI"/>
        </w:rPr>
        <w:t> </w:t>
      </w:r>
    </w:p>
    <w:p w14:paraId="071D6D90" w14:textId="72803EB1" w:rsidR="00831DEB" w:rsidRDefault="00831DEB" w:rsidP="00831DEB">
      <w:pPr>
        <w:rPr>
          <w:rStyle w:val="eop"/>
          <w:rFonts w:cs="Segoe UI"/>
        </w:rPr>
      </w:pPr>
      <w:r>
        <w:rPr>
          <w:rStyle w:val="normaltextrun"/>
          <w:rFonts w:cs="Segoe UI"/>
        </w:rPr>
        <w:t>During the year, internal audit raised findings in relation to information security and management</w:t>
      </w:r>
      <w:r w:rsidR="00BC23AE">
        <w:rPr>
          <w:rStyle w:val="normaltextrun"/>
          <w:rFonts w:cs="Segoe UI"/>
        </w:rPr>
        <w:t>. T</w:t>
      </w:r>
      <w:r>
        <w:rPr>
          <w:rStyle w:val="normaltextrun"/>
          <w:rFonts w:cs="Segoe UI"/>
        </w:rPr>
        <w:t>hese have been considered by management and incorporated into WorkCover’s strategic programs of work to uplift maturity. </w:t>
      </w:r>
      <w:r>
        <w:rPr>
          <w:rStyle w:val="eop"/>
          <w:rFonts w:cs="Segoe UI"/>
        </w:rPr>
        <w:t> </w:t>
      </w:r>
    </w:p>
    <w:p w14:paraId="79789981" w14:textId="77777777" w:rsidR="008779F5" w:rsidRDefault="008779F5" w:rsidP="00831DEB">
      <w:pPr>
        <w:rPr>
          <w:rFonts w:ascii="Segoe UI" w:hAnsi="Segoe UI"/>
          <w:sz w:val="18"/>
          <w:szCs w:val="18"/>
        </w:rPr>
      </w:pPr>
    </w:p>
    <w:p w14:paraId="7D063368" w14:textId="09F24259" w:rsidR="003033C0" w:rsidRPr="00DD1045" w:rsidRDefault="003033C0" w:rsidP="003033C0">
      <w:pPr>
        <w:pStyle w:val="ARHeading1"/>
      </w:pPr>
      <w:bookmarkStart w:id="128" w:name="_Toc172009749"/>
      <w:r>
        <w:t>Open Data</w:t>
      </w:r>
      <w:bookmarkEnd w:id="128"/>
    </w:p>
    <w:p w14:paraId="456A050F" w14:textId="77C57DF9" w:rsidR="003033C0" w:rsidRDefault="00831DEB" w:rsidP="009F2C89">
      <w:pPr>
        <w:rPr>
          <w:rStyle w:val="eop"/>
          <w:color w:val="000000"/>
          <w:shd w:val="clear" w:color="auto" w:fill="FFFFFF"/>
        </w:rPr>
      </w:pPr>
      <w:r>
        <w:rPr>
          <w:rStyle w:val="normaltextrun"/>
          <w:color w:val="000000"/>
          <w:shd w:val="clear" w:color="auto" w:fill="FFFFFF"/>
        </w:rPr>
        <w:t xml:space="preserve">WorkCover has published information through </w:t>
      </w:r>
      <w:r w:rsidR="00EB0D2C">
        <w:rPr>
          <w:rStyle w:val="normaltextrun"/>
          <w:color w:val="000000"/>
          <w:shd w:val="clear" w:color="auto" w:fill="FFFFFF"/>
        </w:rPr>
        <w:t>the Open Data Online portal</w:t>
      </w:r>
      <w:r>
        <w:rPr>
          <w:rStyle w:val="normaltextrun"/>
          <w:color w:val="000000"/>
          <w:shd w:val="clear" w:color="auto" w:fill="FFFFFF"/>
        </w:rPr>
        <w:t>, in accordance with mandatory open data reporting requirements. </w:t>
      </w:r>
      <w:r>
        <w:rPr>
          <w:rStyle w:val="eop"/>
          <w:color w:val="000000"/>
          <w:shd w:val="clear" w:color="auto" w:fill="FFFFFF"/>
        </w:rPr>
        <w:t> </w:t>
      </w:r>
    </w:p>
    <w:p w14:paraId="0EA49943" w14:textId="77777777" w:rsidR="0034743E" w:rsidRDefault="0034743E" w:rsidP="009F2C89">
      <w:pPr>
        <w:rPr>
          <w:rStyle w:val="eop"/>
          <w:color w:val="000000"/>
          <w:shd w:val="clear" w:color="auto" w:fill="FFFFFF"/>
        </w:rPr>
      </w:pPr>
    </w:p>
    <w:p w14:paraId="66992518" w14:textId="77777777" w:rsidR="0034743E" w:rsidRDefault="0034743E" w:rsidP="009F2C89">
      <w:pPr>
        <w:rPr>
          <w:rStyle w:val="eop"/>
          <w:color w:val="000000"/>
          <w:shd w:val="clear" w:color="auto" w:fill="FFFFFF"/>
        </w:rPr>
      </w:pPr>
    </w:p>
    <w:p w14:paraId="3FAE485A" w14:textId="77777777" w:rsidR="0034743E" w:rsidRDefault="0034743E" w:rsidP="009F2C89">
      <w:pPr>
        <w:rPr>
          <w:rStyle w:val="eop"/>
          <w:color w:val="000000"/>
          <w:shd w:val="clear" w:color="auto" w:fill="FFFFFF"/>
        </w:rPr>
      </w:pPr>
    </w:p>
    <w:p w14:paraId="2C80D236" w14:textId="77777777" w:rsidR="0034743E" w:rsidRDefault="0034743E" w:rsidP="009F2C89">
      <w:pPr>
        <w:rPr>
          <w:rStyle w:val="eop"/>
          <w:color w:val="000000"/>
          <w:shd w:val="clear" w:color="auto" w:fill="FFFFFF"/>
        </w:rPr>
      </w:pPr>
    </w:p>
    <w:p w14:paraId="7A9B847D" w14:textId="77777777" w:rsidR="0034743E" w:rsidRDefault="0034743E" w:rsidP="009F2C89">
      <w:pPr>
        <w:rPr>
          <w:rStyle w:val="eop"/>
          <w:color w:val="000000"/>
          <w:shd w:val="clear" w:color="auto" w:fill="FFFFFF"/>
        </w:rPr>
      </w:pPr>
    </w:p>
    <w:p w14:paraId="4776C9AC" w14:textId="77777777" w:rsidR="0034743E" w:rsidRDefault="0034743E" w:rsidP="009F2C89">
      <w:pPr>
        <w:rPr>
          <w:rStyle w:val="eop"/>
          <w:color w:val="000000"/>
          <w:shd w:val="clear" w:color="auto" w:fill="FFFFFF"/>
        </w:rPr>
      </w:pPr>
    </w:p>
    <w:p w14:paraId="633F50A6" w14:textId="77777777" w:rsidR="0034743E" w:rsidRDefault="0034743E" w:rsidP="009F2C89">
      <w:pPr>
        <w:rPr>
          <w:rStyle w:val="eop"/>
          <w:color w:val="000000"/>
          <w:shd w:val="clear" w:color="auto" w:fill="FFFFFF"/>
        </w:rPr>
      </w:pPr>
    </w:p>
    <w:p w14:paraId="2A7406F7" w14:textId="77777777" w:rsidR="0034743E" w:rsidRDefault="0034743E" w:rsidP="009F2C89">
      <w:pPr>
        <w:rPr>
          <w:rStyle w:val="eop"/>
          <w:color w:val="000000"/>
          <w:shd w:val="clear" w:color="auto" w:fill="FFFFFF"/>
        </w:rPr>
      </w:pPr>
    </w:p>
    <w:p w14:paraId="25A4641F" w14:textId="77777777" w:rsidR="0034743E" w:rsidRDefault="0034743E" w:rsidP="009F2C89">
      <w:pPr>
        <w:rPr>
          <w:rStyle w:val="eop"/>
          <w:color w:val="000000"/>
          <w:shd w:val="clear" w:color="auto" w:fill="FFFFFF"/>
        </w:rPr>
      </w:pPr>
    </w:p>
    <w:p w14:paraId="6535C42B" w14:textId="77777777" w:rsidR="0034743E" w:rsidRDefault="0034743E" w:rsidP="009F2C89">
      <w:pPr>
        <w:rPr>
          <w:rStyle w:val="eop"/>
          <w:color w:val="000000"/>
          <w:shd w:val="clear" w:color="auto" w:fill="FFFFFF"/>
        </w:rPr>
      </w:pPr>
    </w:p>
    <w:p w14:paraId="76EECFEF" w14:textId="77777777" w:rsidR="0034743E" w:rsidRDefault="0034743E" w:rsidP="009F2C89">
      <w:pPr>
        <w:rPr>
          <w:rStyle w:val="eop"/>
          <w:color w:val="000000"/>
          <w:shd w:val="clear" w:color="auto" w:fill="FFFFFF"/>
        </w:rPr>
      </w:pPr>
    </w:p>
    <w:p w14:paraId="7DAD14E4" w14:textId="77777777" w:rsidR="0034743E" w:rsidRDefault="0034743E" w:rsidP="009F2C89">
      <w:pPr>
        <w:rPr>
          <w:rStyle w:val="eop"/>
          <w:color w:val="000000"/>
          <w:shd w:val="clear" w:color="auto" w:fill="FFFFFF"/>
        </w:rPr>
      </w:pPr>
    </w:p>
    <w:p w14:paraId="7B6AEF92" w14:textId="77777777" w:rsidR="0034743E" w:rsidRDefault="0034743E" w:rsidP="009F2C89">
      <w:pPr>
        <w:rPr>
          <w:rStyle w:val="eop"/>
          <w:color w:val="000000"/>
          <w:shd w:val="clear" w:color="auto" w:fill="FFFFFF"/>
        </w:rPr>
      </w:pPr>
    </w:p>
    <w:p w14:paraId="399D16B8" w14:textId="77777777" w:rsidR="0034743E" w:rsidRDefault="0034743E" w:rsidP="009F2C89">
      <w:pPr>
        <w:rPr>
          <w:rStyle w:val="eop"/>
          <w:color w:val="000000"/>
          <w:shd w:val="clear" w:color="auto" w:fill="FFFFFF"/>
        </w:rPr>
      </w:pPr>
    </w:p>
    <w:p w14:paraId="77FD592D" w14:textId="77777777" w:rsidR="0034743E" w:rsidRDefault="0034743E" w:rsidP="009F2C89">
      <w:pPr>
        <w:rPr>
          <w:rStyle w:val="eop"/>
          <w:color w:val="000000"/>
          <w:shd w:val="clear" w:color="auto" w:fill="FFFFFF"/>
        </w:rPr>
      </w:pPr>
    </w:p>
    <w:p w14:paraId="1C6B5301" w14:textId="77777777" w:rsidR="0034743E" w:rsidRDefault="0034743E" w:rsidP="009F2C89">
      <w:pPr>
        <w:rPr>
          <w:rStyle w:val="eop"/>
          <w:color w:val="000000"/>
          <w:shd w:val="clear" w:color="auto" w:fill="FFFFFF"/>
        </w:rPr>
      </w:pPr>
    </w:p>
    <w:p w14:paraId="1C96F775" w14:textId="77777777" w:rsidR="0034743E" w:rsidRDefault="0034743E" w:rsidP="009F2C89">
      <w:pPr>
        <w:rPr>
          <w:rStyle w:val="eop"/>
          <w:color w:val="000000"/>
          <w:shd w:val="clear" w:color="auto" w:fill="FFFFFF"/>
        </w:rPr>
      </w:pPr>
    </w:p>
    <w:p w14:paraId="696830D1" w14:textId="77777777" w:rsidR="0034743E" w:rsidRDefault="0034743E" w:rsidP="009F2C89">
      <w:pPr>
        <w:rPr>
          <w:rStyle w:val="eop"/>
          <w:color w:val="000000"/>
          <w:shd w:val="clear" w:color="auto" w:fill="FFFFFF"/>
        </w:rPr>
      </w:pPr>
    </w:p>
    <w:p w14:paraId="25640457" w14:textId="77777777" w:rsidR="0034743E" w:rsidRDefault="0034743E" w:rsidP="009F2C89">
      <w:pPr>
        <w:rPr>
          <w:rStyle w:val="eop"/>
          <w:color w:val="000000"/>
          <w:shd w:val="clear" w:color="auto" w:fill="FFFFFF"/>
        </w:rPr>
      </w:pPr>
    </w:p>
    <w:p w14:paraId="443BE8E0" w14:textId="77777777" w:rsidR="0034743E" w:rsidRDefault="0034743E" w:rsidP="009F2C89">
      <w:pPr>
        <w:rPr>
          <w:rStyle w:val="eop"/>
          <w:color w:val="000000"/>
          <w:shd w:val="clear" w:color="auto" w:fill="FFFFFF"/>
        </w:rPr>
      </w:pPr>
    </w:p>
    <w:p w14:paraId="751A2B59" w14:textId="77777777" w:rsidR="0034743E" w:rsidRDefault="0034743E" w:rsidP="009F2C89">
      <w:pPr>
        <w:rPr>
          <w:rStyle w:val="eop"/>
          <w:color w:val="000000"/>
          <w:shd w:val="clear" w:color="auto" w:fill="FFFFFF"/>
        </w:rPr>
      </w:pPr>
    </w:p>
    <w:p w14:paraId="6536AADC" w14:textId="77777777" w:rsidR="0034743E" w:rsidRPr="00DD1045" w:rsidRDefault="0034743E" w:rsidP="009F2C89"/>
    <w:p w14:paraId="12002425" w14:textId="77777777" w:rsidR="009F2C89" w:rsidRDefault="009F2C89" w:rsidP="002E4A02"/>
    <w:p w14:paraId="3F500C0F" w14:textId="77777777" w:rsidR="009F2C89" w:rsidRDefault="009F2C89" w:rsidP="002E4A02"/>
    <w:p w14:paraId="160E8FF3" w14:textId="1E906A7A" w:rsidR="002E4A02" w:rsidRPr="00DD1045" w:rsidRDefault="002E4A02" w:rsidP="00814DAC">
      <w:pPr>
        <w:pStyle w:val="ListParagraph"/>
        <w:ind w:left="786"/>
      </w:pPr>
    </w:p>
    <w:p w14:paraId="13C9C458" w14:textId="77777777" w:rsidR="0034743E" w:rsidRDefault="0034743E">
      <w:pPr>
        <w:spacing w:before="0" w:after="160"/>
        <w:sectPr w:rsidR="0034743E" w:rsidSect="00700896">
          <w:type w:val="continuous"/>
          <w:pgSz w:w="11906" w:h="16838"/>
          <w:pgMar w:top="1440" w:right="1440" w:bottom="1440" w:left="1440" w:header="708" w:footer="708" w:gutter="0"/>
          <w:cols w:num="2" w:space="708"/>
          <w:docGrid w:linePitch="360"/>
        </w:sectPr>
      </w:pPr>
    </w:p>
    <w:p w14:paraId="7BABD30B" w14:textId="77777777" w:rsidR="008779F5" w:rsidRDefault="008779F5">
      <w:pPr>
        <w:spacing w:before="0" w:after="160"/>
        <w:rPr>
          <w:rFonts w:eastAsiaTheme="majorEastAsia" w:cstheme="majorBidi"/>
          <w:sz w:val="40"/>
          <w:szCs w:val="32"/>
        </w:rPr>
      </w:pPr>
      <w:r>
        <w:br w:type="page"/>
      </w:r>
    </w:p>
    <w:p w14:paraId="308FA3B9" w14:textId="76E2F3B1" w:rsidR="002E4A02" w:rsidRPr="00DD1045" w:rsidRDefault="002E4A02" w:rsidP="002E4A02">
      <w:pPr>
        <w:pStyle w:val="ARMainTitle"/>
        <w:pBdr>
          <w:bottom w:val="single" w:sz="4" w:space="1" w:color="auto"/>
        </w:pBdr>
      </w:pPr>
      <w:bookmarkStart w:id="129" w:name="_Toc172009750"/>
      <w:r w:rsidRPr="00DD1045">
        <w:lastRenderedPageBreak/>
        <w:t xml:space="preserve">Financial performance </w:t>
      </w:r>
      <w:bookmarkEnd w:id="129"/>
    </w:p>
    <w:p w14:paraId="58B59C85" w14:textId="22049E52" w:rsidR="00685A53" w:rsidRPr="00DD1045" w:rsidRDefault="00685A53" w:rsidP="00685A53">
      <w:pPr>
        <w:rPr>
          <w:lang w:eastAsia="en-AU"/>
        </w:rPr>
      </w:pPr>
      <w:r w:rsidRPr="7A415202">
        <w:rPr>
          <w:lang w:eastAsia="en-AU"/>
        </w:rPr>
        <w:t>WorkCover’s final comprehensive result for 2023</w:t>
      </w:r>
      <w:r w:rsidR="00490D1B">
        <w:t>–</w:t>
      </w:r>
      <w:r w:rsidRPr="7A415202">
        <w:rPr>
          <w:lang w:eastAsia="en-AU"/>
        </w:rPr>
        <w:t xml:space="preserve">2024 </w:t>
      </w:r>
      <w:r w:rsidRPr="00A61D0E">
        <w:rPr>
          <w:lang w:eastAsia="en-AU"/>
        </w:rPr>
        <w:t>was $</w:t>
      </w:r>
      <w:r w:rsidR="001B4DAB" w:rsidRPr="00A61D0E">
        <w:rPr>
          <w:lang w:eastAsia="en-AU"/>
        </w:rPr>
        <w:t>132.4</w:t>
      </w:r>
      <w:r w:rsidR="00990B34" w:rsidRPr="00A61D0E">
        <w:rPr>
          <w:lang w:eastAsia="en-AU"/>
        </w:rPr>
        <w:t>M</w:t>
      </w:r>
      <w:r w:rsidR="00EA092F" w:rsidRPr="00A61D0E">
        <w:rPr>
          <w:lang w:eastAsia="en-AU"/>
        </w:rPr>
        <w:t xml:space="preserve"> </w:t>
      </w:r>
      <w:r w:rsidRPr="00A61D0E">
        <w:rPr>
          <w:lang w:eastAsia="en-AU"/>
        </w:rPr>
        <w:t>profit</w:t>
      </w:r>
      <w:r w:rsidRPr="7A415202">
        <w:rPr>
          <w:lang w:eastAsia="en-AU"/>
        </w:rPr>
        <w:t xml:space="preserve"> (after tax), primarily due to improved premium income and investment returns. </w:t>
      </w:r>
    </w:p>
    <w:tbl>
      <w:tblPr>
        <w:tblStyle w:val="TableGrid"/>
        <w:tblW w:w="9070" w:type="dxa"/>
        <w:tblInd w:w="-5"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ook w:val="04A0" w:firstRow="1" w:lastRow="0" w:firstColumn="1" w:lastColumn="0" w:noHBand="0" w:noVBand="1"/>
      </w:tblPr>
      <w:tblGrid>
        <w:gridCol w:w="6182"/>
        <w:gridCol w:w="1410"/>
        <w:gridCol w:w="1478"/>
      </w:tblGrid>
      <w:tr w:rsidR="00685A53" w:rsidRPr="00DD1045" w14:paraId="46805F47" w14:textId="77777777" w:rsidTr="00915E6F">
        <w:trPr>
          <w:trHeight w:val="226"/>
        </w:trPr>
        <w:tc>
          <w:tcPr>
            <w:tcW w:w="6182" w:type="dxa"/>
            <w:tcBorders>
              <w:left w:val="nil"/>
            </w:tcBorders>
            <w:shd w:val="clear" w:color="auto" w:fill="7F7F7F" w:themeFill="text1" w:themeFillTint="80"/>
            <w:vAlign w:val="center"/>
          </w:tcPr>
          <w:p w14:paraId="4A427F8B" w14:textId="77777777" w:rsidR="00685A53" w:rsidRPr="00DD1045" w:rsidRDefault="00685A53">
            <w:pPr>
              <w:pStyle w:val="ARDotpoints"/>
              <w:numPr>
                <w:ilvl w:val="0"/>
                <w:numId w:val="0"/>
              </w:numPr>
              <w:rPr>
                <w:color w:val="FFFFFF" w:themeColor="background1"/>
              </w:rPr>
            </w:pPr>
            <w:r w:rsidRPr="00DD1045">
              <w:rPr>
                <w:color w:val="FFFFFF" w:themeColor="background1"/>
              </w:rPr>
              <w:t>Financial results</w:t>
            </w:r>
          </w:p>
        </w:tc>
        <w:tc>
          <w:tcPr>
            <w:tcW w:w="1410" w:type="dxa"/>
            <w:shd w:val="clear" w:color="auto" w:fill="7F7F7F" w:themeFill="text1" w:themeFillTint="80"/>
            <w:vAlign w:val="center"/>
          </w:tcPr>
          <w:p w14:paraId="7423E08B" w14:textId="68BF5B20" w:rsidR="00685A53" w:rsidRPr="00DD1045" w:rsidRDefault="00685A53">
            <w:pPr>
              <w:pStyle w:val="ARDotpoints"/>
              <w:numPr>
                <w:ilvl w:val="0"/>
                <w:numId w:val="0"/>
              </w:numPr>
              <w:rPr>
                <w:color w:val="FFFFFF" w:themeColor="background1"/>
              </w:rPr>
            </w:pPr>
            <w:r w:rsidRPr="00DD1045">
              <w:rPr>
                <w:color w:val="FFFFFF" w:themeColor="background1"/>
              </w:rPr>
              <w:t>2023</w:t>
            </w:r>
            <w:r w:rsidR="00490D1B" w:rsidRPr="00D10E2B">
              <w:rPr>
                <w:color w:val="FFFFFF" w:themeColor="background1"/>
              </w:rPr>
              <w:t>–</w:t>
            </w:r>
            <w:r w:rsidRPr="00DD1045">
              <w:rPr>
                <w:color w:val="FFFFFF" w:themeColor="background1"/>
              </w:rPr>
              <w:t>2024 $M</w:t>
            </w:r>
          </w:p>
        </w:tc>
        <w:tc>
          <w:tcPr>
            <w:tcW w:w="1478" w:type="dxa"/>
            <w:tcBorders>
              <w:right w:val="nil"/>
            </w:tcBorders>
            <w:shd w:val="clear" w:color="auto" w:fill="7F7F7F" w:themeFill="text1" w:themeFillTint="80"/>
            <w:vAlign w:val="center"/>
          </w:tcPr>
          <w:p w14:paraId="1F6A27AA" w14:textId="42A6AD05" w:rsidR="00685A53" w:rsidRPr="00DD1045" w:rsidRDefault="00685A53">
            <w:pPr>
              <w:pStyle w:val="ARDotpoints"/>
              <w:numPr>
                <w:ilvl w:val="0"/>
                <w:numId w:val="0"/>
              </w:numPr>
              <w:rPr>
                <w:color w:val="FFFFFF" w:themeColor="background1"/>
              </w:rPr>
            </w:pPr>
            <w:r w:rsidRPr="00DD1045">
              <w:rPr>
                <w:color w:val="FFFFFF" w:themeColor="background1"/>
              </w:rPr>
              <w:t>2022</w:t>
            </w:r>
            <w:r w:rsidR="00490D1B" w:rsidRPr="00D10E2B">
              <w:rPr>
                <w:color w:val="FFFFFF" w:themeColor="background1"/>
              </w:rPr>
              <w:t>–</w:t>
            </w:r>
            <w:r w:rsidRPr="00DD1045">
              <w:rPr>
                <w:color w:val="FFFFFF" w:themeColor="background1"/>
              </w:rPr>
              <w:t>2023 $M</w:t>
            </w:r>
          </w:p>
        </w:tc>
      </w:tr>
      <w:tr w:rsidR="00685A53" w:rsidRPr="00DD1045" w14:paraId="705D01B4" w14:textId="77777777" w:rsidTr="00DA2CBE">
        <w:trPr>
          <w:trHeight w:val="89"/>
        </w:trPr>
        <w:tc>
          <w:tcPr>
            <w:tcW w:w="9070" w:type="dxa"/>
            <w:gridSpan w:val="3"/>
            <w:tcBorders>
              <w:left w:val="nil"/>
              <w:right w:val="nil"/>
            </w:tcBorders>
            <w:shd w:val="clear" w:color="auto" w:fill="F2F2F2" w:themeFill="background1" w:themeFillShade="F2"/>
            <w:vAlign w:val="center"/>
          </w:tcPr>
          <w:p w14:paraId="45D3FB50" w14:textId="77777777" w:rsidR="00685A53" w:rsidRPr="000C0A29" w:rsidRDefault="00685A53">
            <w:pPr>
              <w:pStyle w:val="ARDotpoints"/>
              <w:numPr>
                <w:ilvl w:val="0"/>
                <w:numId w:val="0"/>
              </w:numPr>
              <w:rPr>
                <w:rFonts w:ascii="Source Sans Pro SemiBold" w:hAnsi="Source Sans Pro SemiBold"/>
              </w:rPr>
            </w:pPr>
            <w:r w:rsidRPr="000C0A29">
              <w:rPr>
                <w:rFonts w:ascii="Source Sans Pro SemiBold" w:hAnsi="Source Sans Pro SemiBold"/>
              </w:rPr>
              <w:t>Statement of comprehensive income</w:t>
            </w:r>
          </w:p>
        </w:tc>
      </w:tr>
      <w:tr w:rsidR="00915E6F" w:rsidRPr="00DD1045" w14:paraId="0B63C869" w14:textId="77777777" w:rsidTr="00915E6F">
        <w:trPr>
          <w:trHeight w:val="91"/>
        </w:trPr>
        <w:tc>
          <w:tcPr>
            <w:tcW w:w="6182" w:type="dxa"/>
            <w:tcBorders>
              <w:left w:val="nil"/>
            </w:tcBorders>
            <w:vAlign w:val="center"/>
          </w:tcPr>
          <w:p w14:paraId="3B1747D5" w14:textId="77777777" w:rsidR="00915E6F" w:rsidRPr="00DD1045" w:rsidRDefault="00915E6F" w:rsidP="00915E6F">
            <w:pPr>
              <w:pStyle w:val="ARDotpoints"/>
              <w:numPr>
                <w:ilvl w:val="0"/>
                <w:numId w:val="0"/>
              </w:numPr>
            </w:pPr>
            <w:r w:rsidRPr="00DD1045">
              <w:t>Net premium revenue</w:t>
            </w:r>
            <w:r w:rsidRPr="00DD1045">
              <w:rPr>
                <w:rFonts w:eastAsia="Times New Roman" w:cs="Times New Roman"/>
                <w:color w:val="000000"/>
                <w:kern w:val="0"/>
                <w:sz w:val="18"/>
                <w:szCs w:val="18"/>
                <w:lang w:eastAsia="en-AU"/>
                <w14:ligatures w14:val="none"/>
              </w:rPr>
              <w:t> </w:t>
            </w:r>
          </w:p>
        </w:tc>
        <w:tc>
          <w:tcPr>
            <w:tcW w:w="1410" w:type="dxa"/>
            <w:vAlign w:val="center"/>
          </w:tcPr>
          <w:p w14:paraId="072B9085" w14:textId="5955CDF3" w:rsidR="00915E6F" w:rsidRPr="00A61D0E" w:rsidRDefault="00915E6F" w:rsidP="00915E6F">
            <w:pPr>
              <w:pStyle w:val="ARDotpoints"/>
              <w:numPr>
                <w:ilvl w:val="0"/>
                <w:numId w:val="0"/>
              </w:numPr>
              <w:jc w:val="right"/>
              <w:rPr>
                <w:rFonts w:ascii="Source Sans Pro SemiBold" w:hAnsi="Source Sans Pro SemiBold"/>
              </w:rPr>
            </w:pPr>
            <w:r w:rsidRPr="00A61D0E">
              <w:rPr>
                <w:rFonts w:ascii="Source Sans Pro SemiBold" w:hAnsi="Source Sans Pro SemiBold"/>
              </w:rPr>
              <w:t>2,527</w:t>
            </w:r>
          </w:p>
        </w:tc>
        <w:tc>
          <w:tcPr>
            <w:tcW w:w="1478" w:type="dxa"/>
            <w:tcBorders>
              <w:right w:val="nil"/>
            </w:tcBorders>
            <w:vAlign w:val="center"/>
          </w:tcPr>
          <w:p w14:paraId="2D540580" w14:textId="77777777" w:rsidR="00915E6F" w:rsidRPr="00DD1045" w:rsidRDefault="00915E6F" w:rsidP="00915E6F">
            <w:pPr>
              <w:pStyle w:val="ARDotpoints"/>
              <w:numPr>
                <w:ilvl w:val="0"/>
                <w:numId w:val="0"/>
              </w:numPr>
              <w:jc w:val="right"/>
            </w:pPr>
            <w:r>
              <w:t>2,151</w:t>
            </w:r>
          </w:p>
        </w:tc>
      </w:tr>
      <w:tr w:rsidR="00915E6F" w:rsidRPr="00DD1045" w14:paraId="3DAC9E7C" w14:textId="77777777" w:rsidTr="00915E6F">
        <w:trPr>
          <w:trHeight w:val="91"/>
        </w:trPr>
        <w:tc>
          <w:tcPr>
            <w:tcW w:w="6182" w:type="dxa"/>
            <w:tcBorders>
              <w:left w:val="nil"/>
            </w:tcBorders>
            <w:vAlign w:val="center"/>
          </w:tcPr>
          <w:p w14:paraId="0E0C0D82" w14:textId="77777777" w:rsidR="00915E6F" w:rsidRPr="00DD1045" w:rsidRDefault="00915E6F" w:rsidP="00915E6F">
            <w:pPr>
              <w:pStyle w:val="ARDotpoints"/>
              <w:numPr>
                <w:ilvl w:val="0"/>
                <w:numId w:val="0"/>
              </w:numPr>
            </w:pPr>
            <w:r>
              <w:t>Net claims incurred</w:t>
            </w:r>
          </w:p>
        </w:tc>
        <w:tc>
          <w:tcPr>
            <w:tcW w:w="1410" w:type="dxa"/>
            <w:vAlign w:val="center"/>
          </w:tcPr>
          <w:p w14:paraId="7F6EF1E4" w14:textId="0DDBBF35" w:rsidR="00915E6F" w:rsidRPr="00A61D0E" w:rsidRDefault="00915E6F" w:rsidP="00915E6F">
            <w:pPr>
              <w:pStyle w:val="ARDotpoints"/>
              <w:numPr>
                <w:ilvl w:val="0"/>
                <w:numId w:val="0"/>
              </w:numPr>
              <w:jc w:val="right"/>
              <w:rPr>
                <w:rFonts w:ascii="Source Sans Pro SemiBold" w:hAnsi="Source Sans Pro SemiBold"/>
              </w:rPr>
            </w:pPr>
            <w:r w:rsidRPr="00A61D0E">
              <w:rPr>
                <w:rFonts w:ascii="Source Sans Pro SemiBold" w:hAnsi="Source Sans Pro SemiBold"/>
              </w:rPr>
              <w:t>(2,838)</w:t>
            </w:r>
          </w:p>
        </w:tc>
        <w:tc>
          <w:tcPr>
            <w:tcW w:w="1478" w:type="dxa"/>
            <w:tcBorders>
              <w:right w:val="nil"/>
            </w:tcBorders>
            <w:vAlign w:val="center"/>
          </w:tcPr>
          <w:p w14:paraId="5E42A479" w14:textId="77777777" w:rsidR="00915E6F" w:rsidRPr="00DD1045" w:rsidDel="004D476A" w:rsidRDefault="00915E6F" w:rsidP="00915E6F">
            <w:pPr>
              <w:pStyle w:val="ARDotpoints"/>
              <w:numPr>
                <w:ilvl w:val="0"/>
                <w:numId w:val="0"/>
              </w:numPr>
              <w:jc w:val="right"/>
            </w:pPr>
            <w:r>
              <w:t>(2,420)</w:t>
            </w:r>
          </w:p>
        </w:tc>
      </w:tr>
      <w:tr w:rsidR="00915E6F" w:rsidRPr="00DD1045" w14:paraId="7AB5AC91" w14:textId="77777777" w:rsidTr="00915E6F">
        <w:trPr>
          <w:trHeight w:val="91"/>
        </w:trPr>
        <w:tc>
          <w:tcPr>
            <w:tcW w:w="6182" w:type="dxa"/>
            <w:tcBorders>
              <w:left w:val="nil"/>
            </w:tcBorders>
            <w:vAlign w:val="center"/>
          </w:tcPr>
          <w:p w14:paraId="2248BD6F" w14:textId="77777777" w:rsidR="00915E6F" w:rsidRPr="00DD1045" w:rsidRDefault="00915E6F" w:rsidP="00915E6F">
            <w:pPr>
              <w:pStyle w:val="ARDotpoints"/>
              <w:numPr>
                <w:ilvl w:val="0"/>
                <w:numId w:val="0"/>
              </w:numPr>
            </w:pPr>
            <w:r w:rsidRPr="00DD1045">
              <w:t>Underwriting expenses (net of claims handling) </w:t>
            </w:r>
          </w:p>
        </w:tc>
        <w:tc>
          <w:tcPr>
            <w:tcW w:w="1410" w:type="dxa"/>
            <w:vAlign w:val="center"/>
          </w:tcPr>
          <w:p w14:paraId="5B98229D" w14:textId="17FBA50F" w:rsidR="00915E6F" w:rsidRPr="00A61D0E" w:rsidRDefault="00915E6F" w:rsidP="00915E6F">
            <w:pPr>
              <w:jc w:val="right"/>
              <w:rPr>
                <w:rFonts w:ascii="Source Sans Pro SemiBold" w:hAnsi="Source Sans Pro SemiBold"/>
              </w:rPr>
            </w:pPr>
            <w:r w:rsidRPr="00A61D0E">
              <w:rPr>
                <w:rFonts w:ascii="Source Sans Pro SemiBold" w:hAnsi="Source Sans Pro SemiBold"/>
              </w:rPr>
              <w:t>(67)</w:t>
            </w:r>
          </w:p>
        </w:tc>
        <w:tc>
          <w:tcPr>
            <w:tcW w:w="1478" w:type="dxa"/>
            <w:tcBorders>
              <w:right w:val="nil"/>
            </w:tcBorders>
            <w:vAlign w:val="center"/>
          </w:tcPr>
          <w:p w14:paraId="7674D253" w14:textId="77777777" w:rsidR="00915E6F" w:rsidRPr="00DD1045" w:rsidRDefault="00915E6F" w:rsidP="00915E6F">
            <w:pPr>
              <w:jc w:val="right"/>
            </w:pPr>
            <w:r>
              <w:t>(43)</w:t>
            </w:r>
          </w:p>
        </w:tc>
      </w:tr>
      <w:tr w:rsidR="00915E6F" w:rsidRPr="00DD1045" w14:paraId="1B83FE31" w14:textId="77777777" w:rsidTr="00915E6F">
        <w:trPr>
          <w:trHeight w:val="91"/>
        </w:trPr>
        <w:tc>
          <w:tcPr>
            <w:tcW w:w="6182" w:type="dxa"/>
            <w:tcBorders>
              <w:left w:val="nil"/>
            </w:tcBorders>
            <w:vAlign w:val="center"/>
          </w:tcPr>
          <w:p w14:paraId="26AA1E9A" w14:textId="77777777" w:rsidR="00915E6F" w:rsidRPr="00DD1045" w:rsidRDefault="00915E6F" w:rsidP="00915E6F">
            <w:pPr>
              <w:pStyle w:val="ARDotpoints"/>
              <w:numPr>
                <w:ilvl w:val="0"/>
                <w:numId w:val="0"/>
              </w:numPr>
            </w:pPr>
            <w:r w:rsidRPr="00DD1045">
              <w:t>Net investment and other expenses </w:t>
            </w:r>
          </w:p>
        </w:tc>
        <w:tc>
          <w:tcPr>
            <w:tcW w:w="1410" w:type="dxa"/>
            <w:vAlign w:val="center"/>
          </w:tcPr>
          <w:p w14:paraId="6764D162" w14:textId="7A865E8A" w:rsidR="00915E6F" w:rsidRPr="00A61D0E" w:rsidRDefault="00915E6F" w:rsidP="00915E6F">
            <w:pPr>
              <w:jc w:val="right"/>
              <w:rPr>
                <w:rFonts w:ascii="Source Sans Pro SemiBold" w:hAnsi="Source Sans Pro SemiBold"/>
              </w:rPr>
            </w:pPr>
            <w:r w:rsidRPr="00A61D0E">
              <w:rPr>
                <w:rFonts w:ascii="Source Sans Pro SemiBold" w:hAnsi="Source Sans Pro SemiBold"/>
              </w:rPr>
              <w:t>553</w:t>
            </w:r>
          </w:p>
        </w:tc>
        <w:tc>
          <w:tcPr>
            <w:tcW w:w="1478" w:type="dxa"/>
            <w:tcBorders>
              <w:right w:val="nil"/>
            </w:tcBorders>
            <w:vAlign w:val="center"/>
          </w:tcPr>
          <w:p w14:paraId="21C19BD5" w14:textId="77777777" w:rsidR="00915E6F" w:rsidRPr="00DD1045" w:rsidRDefault="00915E6F" w:rsidP="00915E6F">
            <w:pPr>
              <w:jc w:val="right"/>
            </w:pPr>
            <w:r>
              <w:t>345</w:t>
            </w:r>
          </w:p>
        </w:tc>
      </w:tr>
      <w:tr w:rsidR="00915E6F" w:rsidRPr="00DD1045" w14:paraId="01940216" w14:textId="77777777" w:rsidTr="00915E6F">
        <w:trPr>
          <w:trHeight w:val="91"/>
        </w:trPr>
        <w:tc>
          <w:tcPr>
            <w:tcW w:w="6182" w:type="dxa"/>
            <w:tcBorders>
              <w:left w:val="nil"/>
            </w:tcBorders>
            <w:vAlign w:val="center"/>
          </w:tcPr>
          <w:p w14:paraId="31BB600A" w14:textId="77777777" w:rsidR="00915E6F" w:rsidRPr="00DD1045" w:rsidRDefault="00915E6F" w:rsidP="00915E6F">
            <w:pPr>
              <w:pStyle w:val="ARDotpoints"/>
              <w:numPr>
                <w:ilvl w:val="0"/>
                <w:numId w:val="0"/>
              </w:numPr>
            </w:pPr>
            <w:r w:rsidRPr="00DD1045">
              <w:t>Income tax equivalents </w:t>
            </w:r>
          </w:p>
        </w:tc>
        <w:tc>
          <w:tcPr>
            <w:tcW w:w="1410" w:type="dxa"/>
            <w:vAlign w:val="center"/>
          </w:tcPr>
          <w:p w14:paraId="7C6028FC" w14:textId="09526A1B" w:rsidR="00915E6F" w:rsidRPr="00A61D0E" w:rsidRDefault="00915E6F" w:rsidP="00915E6F">
            <w:pPr>
              <w:jc w:val="right"/>
              <w:rPr>
                <w:rFonts w:ascii="Source Sans Pro SemiBold" w:hAnsi="Source Sans Pro SemiBold"/>
              </w:rPr>
            </w:pPr>
            <w:r w:rsidRPr="00A61D0E">
              <w:rPr>
                <w:rFonts w:ascii="Source Sans Pro SemiBold" w:hAnsi="Source Sans Pro SemiBold"/>
              </w:rPr>
              <w:t>(43)</w:t>
            </w:r>
          </w:p>
        </w:tc>
        <w:tc>
          <w:tcPr>
            <w:tcW w:w="1478" w:type="dxa"/>
            <w:tcBorders>
              <w:right w:val="nil"/>
            </w:tcBorders>
            <w:vAlign w:val="center"/>
          </w:tcPr>
          <w:p w14:paraId="10114515" w14:textId="77777777" w:rsidR="00915E6F" w:rsidRPr="00DD1045" w:rsidRDefault="00915E6F" w:rsidP="00915E6F">
            <w:pPr>
              <w:jc w:val="right"/>
            </w:pPr>
            <w:r>
              <w:t>(6)</w:t>
            </w:r>
          </w:p>
        </w:tc>
      </w:tr>
      <w:tr w:rsidR="00915E6F" w:rsidRPr="00DD1045" w14:paraId="10EDBDEF" w14:textId="77777777" w:rsidTr="00915E6F">
        <w:trPr>
          <w:trHeight w:val="91"/>
        </w:trPr>
        <w:tc>
          <w:tcPr>
            <w:tcW w:w="6182" w:type="dxa"/>
            <w:tcBorders>
              <w:left w:val="nil"/>
            </w:tcBorders>
            <w:vAlign w:val="center"/>
          </w:tcPr>
          <w:p w14:paraId="2620B619" w14:textId="77777777" w:rsidR="00915E6F" w:rsidRPr="00DD1045" w:rsidRDefault="00915E6F" w:rsidP="00915E6F">
            <w:pPr>
              <w:pStyle w:val="ARDotpoints"/>
              <w:numPr>
                <w:ilvl w:val="0"/>
                <w:numId w:val="0"/>
              </w:numPr>
            </w:pPr>
            <w:r w:rsidRPr="00DD1045">
              <w:t>Other comprehensive income/(loss) </w:t>
            </w:r>
          </w:p>
        </w:tc>
        <w:tc>
          <w:tcPr>
            <w:tcW w:w="1410" w:type="dxa"/>
            <w:vAlign w:val="center"/>
          </w:tcPr>
          <w:p w14:paraId="4FF6A816" w14:textId="05F7E357" w:rsidR="00915E6F" w:rsidRPr="00A61D0E" w:rsidRDefault="00915E6F" w:rsidP="00915E6F">
            <w:pPr>
              <w:jc w:val="right"/>
              <w:rPr>
                <w:rFonts w:ascii="Source Sans Pro SemiBold" w:hAnsi="Source Sans Pro SemiBold"/>
              </w:rPr>
            </w:pPr>
            <w:r w:rsidRPr="00A61D0E">
              <w:rPr>
                <w:rFonts w:ascii="Source Sans Pro SemiBold" w:hAnsi="Source Sans Pro SemiBold"/>
              </w:rPr>
              <w:t>-</w:t>
            </w:r>
          </w:p>
        </w:tc>
        <w:tc>
          <w:tcPr>
            <w:tcW w:w="1478" w:type="dxa"/>
            <w:tcBorders>
              <w:right w:val="nil"/>
            </w:tcBorders>
            <w:vAlign w:val="center"/>
          </w:tcPr>
          <w:p w14:paraId="449B3284" w14:textId="77777777" w:rsidR="00915E6F" w:rsidRPr="00DD1045" w:rsidRDefault="00915E6F" w:rsidP="00915E6F">
            <w:pPr>
              <w:jc w:val="right"/>
            </w:pPr>
            <w:r>
              <w:t>(1)</w:t>
            </w:r>
          </w:p>
        </w:tc>
      </w:tr>
      <w:tr w:rsidR="00915E6F" w:rsidRPr="00DD1045" w14:paraId="3C1AB92B" w14:textId="77777777" w:rsidTr="00915E6F">
        <w:trPr>
          <w:trHeight w:val="91"/>
        </w:trPr>
        <w:tc>
          <w:tcPr>
            <w:tcW w:w="6182" w:type="dxa"/>
            <w:tcBorders>
              <w:left w:val="nil"/>
            </w:tcBorders>
            <w:vAlign w:val="center"/>
          </w:tcPr>
          <w:p w14:paraId="0B9C3459" w14:textId="77777777" w:rsidR="00915E6F" w:rsidRPr="00DD1045" w:rsidRDefault="00915E6F" w:rsidP="00915E6F">
            <w:pPr>
              <w:pStyle w:val="ARDotpoints"/>
              <w:numPr>
                <w:ilvl w:val="0"/>
                <w:numId w:val="0"/>
              </w:numPr>
            </w:pPr>
            <w:r w:rsidRPr="00DD1045">
              <w:t>Total comprehensive (loss)/income for the year </w:t>
            </w:r>
          </w:p>
        </w:tc>
        <w:tc>
          <w:tcPr>
            <w:tcW w:w="1410" w:type="dxa"/>
            <w:vAlign w:val="center"/>
          </w:tcPr>
          <w:p w14:paraId="0290E87E" w14:textId="3AAEAC63" w:rsidR="00915E6F" w:rsidRPr="00A61D0E" w:rsidRDefault="00915E6F" w:rsidP="00915E6F">
            <w:pPr>
              <w:jc w:val="right"/>
              <w:rPr>
                <w:rFonts w:ascii="Source Sans Pro SemiBold" w:hAnsi="Source Sans Pro SemiBold"/>
              </w:rPr>
            </w:pPr>
            <w:r w:rsidRPr="00A61D0E">
              <w:rPr>
                <w:rFonts w:ascii="Source Sans Pro SemiBold" w:hAnsi="Source Sans Pro SemiBold"/>
              </w:rPr>
              <w:t>132</w:t>
            </w:r>
          </w:p>
        </w:tc>
        <w:tc>
          <w:tcPr>
            <w:tcW w:w="1478" w:type="dxa"/>
            <w:tcBorders>
              <w:right w:val="nil"/>
            </w:tcBorders>
            <w:vAlign w:val="center"/>
          </w:tcPr>
          <w:p w14:paraId="0C33D90F" w14:textId="77777777" w:rsidR="00915E6F" w:rsidRPr="00DD1045" w:rsidRDefault="00915E6F" w:rsidP="00915E6F">
            <w:pPr>
              <w:jc w:val="right"/>
            </w:pPr>
            <w:r>
              <w:t>26</w:t>
            </w:r>
          </w:p>
        </w:tc>
      </w:tr>
      <w:tr w:rsidR="00685A53" w:rsidRPr="00DD1045" w14:paraId="3E8B1EC8" w14:textId="77777777" w:rsidTr="00DA2CBE">
        <w:trPr>
          <w:trHeight w:val="91"/>
        </w:trPr>
        <w:tc>
          <w:tcPr>
            <w:tcW w:w="9070" w:type="dxa"/>
            <w:gridSpan w:val="3"/>
            <w:tcBorders>
              <w:left w:val="nil"/>
              <w:right w:val="nil"/>
            </w:tcBorders>
            <w:shd w:val="clear" w:color="auto" w:fill="F2F2F2" w:themeFill="background1" w:themeFillShade="F2"/>
            <w:vAlign w:val="center"/>
          </w:tcPr>
          <w:p w14:paraId="683E713D" w14:textId="77777777" w:rsidR="00685A53" w:rsidRPr="00A61D0E" w:rsidRDefault="00685A53">
            <w:pPr>
              <w:pStyle w:val="ARDotpoints"/>
              <w:numPr>
                <w:ilvl w:val="0"/>
                <w:numId w:val="0"/>
              </w:numPr>
              <w:rPr>
                <w:rFonts w:ascii="Source Sans Pro SemiBold" w:hAnsi="Source Sans Pro SemiBold"/>
              </w:rPr>
            </w:pPr>
            <w:r w:rsidRPr="00A61D0E">
              <w:rPr>
                <w:rFonts w:ascii="Source Sans Pro SemiBold" w:hAnsi="Source Sans Pro SemiBold"/>
              </w:rPr>
              <w:t>Statement of financial position</w:t>
            </w:r>
          </w:p>
        </w:tc>
      </w:tr>
      <w:tr w:rsidR="001A59CD" w:rsidRPr="00DD1045" w14:paraId="572642FB" w14:textId="77777777" w:rsidTr="00915E6F">
        <w:trPr>
          <w:trHeight w:val="91"/>
        </w:trPr>
        <w:tc>
          <w:tcPr>
            <w:tcW w:w="6182" w:type="dxa"/>
            <w:tcBorders>
              <w:left w:val="nil"/>
            </w:tcBorders>
            <w:vAlign w:val="center"/>
          </w:tcPr>
          <w:p w14:paraId="7A28AE87" w14:textId="77777777" w:rsidR="001A59CD" w:rsidRPr="00DD1045" w:rsidRDefault="001A59CD" w:rsidP="001A59CD">
            <w:pPr>
              <w:pStyle w:val="ARDotpoints"/>
              <w:numPr>
                <w:ilvl w:val="0"/>
                <w:numId w:val="0"/>
              </w:numPr>
            </w:pPr>
            <w:r w:rsidRPr="00DD1045">
              <w:t>Total assets </w:t>
            </w:r>
          </w:p>
        </w:tc>
        <w:tc>
          <w:tcPr>
            <w:tcW w:w="1410" w:type="dxa"/>
            <w:vAlign w:val="center"/>
          </w:tcPr>
          <w:p w14:paraId="05BC6303" w14:textId="6337234D" w:rsidR="001A59CD" w:rsidRPr="00A61D0E" w:rsidRDefault="001A59CD" w:rsidP="001A59CD">
            <w:pPr>
              <w:jc w:val="right"/>
              <w:rPr>
                <w:rFonts w:ascii="Source Sans Pro SemiBold" w:hAnsi="Source Sans Pro SemiBold"/>
              </w:rPr>
            </w:pPr>
            <w:r w:rsidRPr="00A61D0E">
              <w:rPr>
                <w:rFonts w:ascii="Source Sans Pro SemiBold" w:hAnsi="Source Sans Pro SemiBold"/>
              </w:rPr>
              <w:t>7,488</w:t>
            </w:r>
          </w:p>
        </w:tc>
        <w:tc>
          <w:tcPr>
            <w:tcW w:w="1478" w:type="dxa"/>
            <w:tcBorders>
              <w:right w:val="nil"/>
            </w:tcBorders>
            <w:vAlign w:val="center"/>
          </w:tcPr>
          <w:p w14:paraId="272F2835" w14:textId="77777777" w:rsidR="001A59CD" w:rsidRPr="00DD1045" w:rsidRDefault="001A59CD" w:rsidP="001A59CD">
            <w:pPr>
              <w:jc w:val="right"/>
            </w:pPr>
            <w:r>
              <w:t>6,771</w:t>
            </w:r>
          </w:p>
        </w:tc>
      </w:tr>
      <w:tr w:rsidR="001A59CD" w:rsidRPr="00DD1045" w14:paraId="4FFDACB3" w14:textId="77777777" w:rsidTr="00915E6F">
        <w:trPr>
          <w:trHeight w:val="91"/>
        </w:trPr>
        <w:tc>
          <w:tcPr>
            <w:tcW w:w="6182" w:type="dxa"/>
            <w:tcBorders>
              <w:left w:val="nil"/>
            </w:tcBorders>
            <w:vAlign w:val="center"/>
          </w:tcPr>
          <w:p w14:paraId="71E48D31" w14:textId="77777777" w:rsidR="001A59CD" w:rsidRPr="00DD1045" w:rsidRDefault="001A59CD" w:rsidP="001A59CD">
            <w:pPr>
              <w:pStyle w:val="ARDotpoints"/>
              <w:numPr>
                <w:ilvl w:val="0"/>
                <w:numId w:val="0"/>
              </w:numPr>
            </w:pPr>
            <w:r w:rsidRPr="00DD1045">
              <w:t>Total liabilities </w:t>
            </w:r>
          </w:p>
        </w:tc>
        <w:tc>
          <w:tcPr>
            <w:tcW w:w="1410" w:type="dxa"/>
            <w:vAlign w:val="center"/>
          </w:tcPr>
          <w:p w14:paraId="68099439" w14:textId="1D41C8A8" w:rsidR="001A59CD" w:rsidRPr="00A61D0E" w:rsidRDefault="001A59CD" w:rsidP="001A59CD">
            <w:pPr>
              <w:jc w:val="right"/>
              <w:rPr>
                <w:rFonts w:ascii="Source Sans Pro SemiBold" w:hAnsi="Source Sans Pro SemiBold"/>
              </w:rPr>
            </w:pPr>
            <w:r w:rsidRPr="00A61D0E">
              <w:rPr>
                <w:rFonts w:ascii="Source Sans Pro SemiBold" w:hAnsi="Source Sans Pro SemiBold"/>
              </w:rPr>
              <w:t>5,459</w:t>
            </w:r>
          </w:p>
        </w:tc>
        <w:tc>
          <w:tcPr>
            <w:tcW w:w="1478" w:type="dxa"/>
            <w:tcBorders>
              <w:right w:val="nil"/>
            </w:tcBorders>
            <w:vAlign w:val="center"/>
          </w:tcPr>
          <w:p w14:paraId="52883FA0" w14:textId="77777777" w:rsidR="001A59CD" w:rsidRPr="00DD1045" w:rsidRDefault="001A59CD" w:rsidP="001A59CD">
            <w:pPr>
              <w:jc w:val="right"/>
            </w:pPr>
            <w:r>
              <w:t>4,874</w:t>
            </w:r>
          </w:p>
        </w:tc>
      </w:tr>
      <w:tr w:rsidR="001A59CD" w:rsidRPr="00DD1045" w14:paraId="7960CDCB" w14:textId="77777777" w:rsidTr="00915E6F">
        <w:trPr>
          <w:trHeight w:val="91"/>
        </w:trPr>
        <w:tc>
          <w:tcPr>
            <w:tcW w:w="6182" w:type="dxa"/>
            <w:tcBorders>
              <w:left w:val="nil"/>
            </w:tcBorders>
            <w:vAlign w:val="center"/>
          </w:tcPr>
          <w:p w14:paraId="51D7251F" w14:textId="77777777" w:rsidR="001A59CD" w:rsidRPr="00DD1045" w:rsidRDefault="001A59CD" w:rsidP="001A59CD">
            <w:pPr>
              <w:pStyle w:val="ARDotpoints"/>
              <w:numPr>
                <w:ilvl w:val="0"/>
                <w:numId w:val="0"/>
              </w:numPr>
            </w:pPr>
            <w:r w:rsidRPr="00DD1045">
              <w:t>Net assets </w:t>
            </w:r>
          </w:p>
        </w:tc>
        <w:tc>
          <w:tcPr>
            <w:tcW w:w="1410" w:type="dxa"/>
            <w:vAlign w:val="center"/>
          </w:tcPr>
          <w:p w14:paraId="45B7E4C9" w14:textId="3D953129" w:rsidR="001A59CD" w:rsidRPr="00A61D0E" w:rsidRDefault="001A59CD" w:rsidP="001A59CD">
            <w:pPr>
              <w:jc w:val="right"/>
              <w:rPr>
                <w:rFonts w:ascii="Source Sans Pro SemiBold" w:hAnsi="Source Sans Pro SemiBold"/>
              </w:rPr>
            </w:pPr>
            <w:r w:rsidRPr="00A61D0E">
              <w:rPr>
                <w:rFonts w:ascii="Source Sans Pro SemiBold" w:hAnsi="Source Sans Pro SemiBold"/>
              </w:rPr>
              <w:t>2,029</w:t>
            </w:r>
          </w:p>
        </w:tc>
        <w:tc>
          <w:tcPr>
            <w:tcW w:w="1478" w:type="dxa"/>
            <w:tcBorders>
              <w:right w:val="nil"/>
            </w:tcBorders>
            <w:vAlign w:val="center"/>
          </w:tcPr>
          <w:p w14:paraId="3AD0DAA5" w14:textId="77777777" w:rsidR="001A59CD" w:rsidRPr="00DD1045" w:rsidRDefault="001A59CD" w:rsidP="001A59CD">
            <w:pPr>
              <w:jc w:val="right"/>
            </w:pPr>
            <w:r>
              <w:t>1,897</w:t>
            </w:r>
          </w:p>
        </w:tc>
      </w:tr>
      <w:tr w:rsidR="00685A53" w:rsidRPr="00DD1045" w14:paraId="247AC148" w14:textId="77777777" w:rsidTr="00DA2CBE">
        <w:trPr>
          <w:trHeight w:val="91"/>
        </w:trPr>
        <w:tc>
          <w:tcPr>
            <w:tcW w:w="9070" w:type="dxa"/>
            <w:gridSpan w:val="3"/>
            <w:tcBorders>
              <w:left w:val="nil"/>
              <w:right w:val="nil"/>
            </w:tcBorders>
            <w:shd w:val="clear" w:color="auto" w:fill="F2F2F2" w:themeFill="background1" w:themeFillShade="F2"/>
            <w:vAlign w:val="center"/>
          </w:tcPr>
          <w:p w14:paraId="11C3ED7E" w14:textId="77777777" w:rsidR="00685A53" w:rsidRPr="000C0A29" w:rsidRDefault="00685A53">
            <w:pPr>
              <w:pStyle w:val="ARDotpoints"/>
              <w:numPr>
                <w:ilvl w:val="0"/>
                <w:numId w:val="0"/>
              </w:numPr>
              <w:rPr>
                <w:rFonts w:ascii="Source Sans Pro SemiBold" w:hAnsi="Source Sans Pro SemiBold"/>
              </w:rPr>
            </w:pPr>
            <w:r w:rsidRPr="000C0A29">
              <w:rPr>
                <w:rFonts w:ascii="Source Sans Pro SemiBold" w:hAnsi="Source Sans Pro SemiBold"/>
              </w:rPr>
              <w:t xml:space="preserve">Statement of changes in equity </w:t>
            </w:r>
          </w:p>
        </w:tc>
      </w:tr>
      <w:tr w:rsidR="00A90A07" w:rsidRPr="00DD1045" w14:paraId="402E00AC" w14:textId="77777777" w:rsidTr="00915E6F">
        <w:trPr>
          <w:trHeight w:val="91"/>
        </w:trPr>
        <w:tc>
          <w:tcPr>
            <w:tcW w:w="6182" w:type="dxa"/>
            <w:tcBorders>
              <w:left w:val="nil"/>
            </w:tcBorders>
            <w:vAlign w:val="center"/>
          </w:tcPr>
          <w:p w14:paraId="1455BE13" w14:textId="77777777" w:rsidR="00A90A07" w:rsidRPr="00DD1045" w:rsidRDefault="00A90A07" w:rsidP="00A90A07">
            <w:pPr>
              <w:pStyle w:val="ARDotpoints"/>
              <w:numPr>
                <w:ilvl w:val="0"/>
                <w:numId w:val="0"/>
              </w:numPr>
            </w:pPr>
            <w:r w:rsidRPr="00DD1045">
              <w:t>Reserves </w:t>
            </w:r>
          </w:p>
        </w:tc>
        <w:tc>
          <w:tcPr>
            <w:tcW w:w="1410" w:type="dxa"/>
            <w:vAlign w:val="center"/>
          </w:tcPr>
          <w:p w14:paraId="3869AD5A" w14:textId="6366384A" w:rsidR="00A90A07" w:rsidRPr="00A61D0E" w:rsidRDefault="00A90A07" w:rsidP="00A90A07">
            <w:pPr>
              <w:jc w:val="right"/>
              <w:rPr>
                <w:rFonts w:ascii="Source Sans Pro SemiBold" w:hAnsi="Source Sans Pro SemiBold"/>
              </w:rPr>
            </w:pPr>
            <w:r w:rsidRPr="00A61D0E">
              <w:rPr>
                <w:rFonts w:ascii="Source Sans Pro SemiBold" w:hAnsi="Source Sans Pro SemiBold"/>
              </w:rPr>
              <w:t>935</w:t>
            </w:r>
          </w:p>
        </w:tc>
        <w:tc>
          <w:tcPr>
            <w:tcW w:w="1478" w:type="dxa"/>
            <w:tcBorders>
              <w:right w:val="nil"/>
            </w:tcBorders>
            <w:vAlign w:val="center"/>
          </w:tcPr>
          <w:p w14:paraId="492C365A" w14:textId="77777777" w:rsidR="00A90A07" w:rsidRPr="00DD1045" w:rsidRDefault="00A90A07" w:rsidP="00A90A07">
            <w:pPr>
              <w:jc w:val="right"/>
            </w:pPr>
            <w:r>
              <w:t>919</w:t>
            </w:r>
          </w:p>
        </w:tc>
      </w:tr>
      <w:tr w:rsidR="00A90A07" w:rsidRPr="00DD1045" w14:paraId="62A45B52" w14:textId="77777777" w:rsidTr="00915E6F">
        <w:trPr>
          <w:trHeight w:val="91"/>
        </w:trPr>
        <w:tc>
          <w:tcPr>
            <w:tcW w:w="6182" w:type="dxa"/>
            <w:tcBorders>
              <w:left w:val="nil"/>
            </w:tcBorders>
            <w:vAlign w:val="center"/>
          </w:tcPr>
          <w:p w14:paraId="3FDCA87E" w14:textId="77777777" w:rsidR="00A90A07" w:rsidRPr="00DD1045" w:rsidRDefault="00A90A07" w:rsidP="00A90A07">
            <w:pPr>
              <w:pStyle w:val="ARDotpoints"/>
              <w:numPr>
                <w:ilvl w:val="0"/>
                <w:numId w:val="0"/>
              </w:numPr>
            </w:pPr>
            <w:r w:rsidRPr="00DD1045">
              <w:t>Contributed equity </w:t>
            </w:r>
          </w:p>
        </w:tc>
        <w:tc>
          <w:tcPr>
            <w:tcW w:w="1410" w:type="dxa"/>
            <w:vAlign w:val="center"/>
          </w:tcPr>
          <w:p w14:paraId="0F38B3BB" w14:textId="423410DA" w:rsidR="00A90A07" w:rsidRPr="00A61D0E" w:rsidRDefault="00A90A07" w:rsidP="00A90A07">
            <w:pPr>
              <w:jc w:val="right"/>
              <w:rPr>
                <w:rFonts w:ascii="Source Sans Pro SemiBold" w:hAnsi="Source Sans Pro SemiBold"/>
              </w:rPr>
            </w:pPr>
            <w:r w:rsidRPr="00A61D0E">
              <w:rPr>
                <w:rFonts w:ascii="Source Sans Pro SemiBold" w:hAnsi="Source Sans Pro SemiBold"/>
              </w:rPr>
              <w:t>3</w:t>
            </w:r>
          </w:p>
        </w:tc>
        <w:tc>
          <w:tcPr>
            <w:tcW w:w="1478" w:type="dxa"/>
            <w:tcBorders>
              <w:right w:val="nil"/>
            </w:tcBorders>
            <w:vAlign w:val="center"/>
          </w:tcPr>
          <w:p w14:paraId="0D53CB21" w14:textId="77777777" w:rsidR="00A90A07" w:rsidRPr="00DD1045" w:rsidRDefault="00A90A07" w:rsidP="00A90A07">
            <w:pPr>
              <w:jc w:val="right"/>
            </w:pPr>
            <w:r>
              <w:t>3</w:t>
            </w:r>
          </w:p>
        </w:tc>
      </w:tr>
      <w:tr w:rsidR="00A90A07" w:rsidRPr="00DD1045" w14:paraId="16AF91D6" w14:textId="77777777" w:rsidTr="00915E6F">
        <w:trPr>
          <w:trHeight w:val="91"/>
        </w:trPr>
        <w:tc>
          <w:tcPr>
            <w:tcW w:w="6182" w:type="dxa"/>
            <w:tcBorders>
              <w:left w:val="nil"/>
              <w:bottom w:val="single" w:sz="4" w:space="0" w:color="E7E6E6"/>
            </w:tcBorders>
            <w:vAlign w:val="center"/>
          </w:tcPr>
          <w:p w14:paraId="56504AAE" w14:textId="77777777" w:rsidR="00A90A07" w:rsidRPr="00DD1045" w:rsidRDefault="00A90A07" w:rsidP="00A90A07">
            <w:pPr>
              <w:pStyle w:val="ARDotpoints"/>
              <w:numPr>
                <w:ilvl w:val="0"/>
                <w:numId w:val="0"/>
              </w:numPr>
            </w:pPr>
            <w:r w:rsidRPr="00DD1045">
              <w:t>Accumulated surplus </w:t>
            </w:r>
          </w:p>
        </w:tc>
        <w:tc>
          <w:tcPr>
            <w:tcW w:w="1410" w:type="dxa"/>
            <w:tcBorders>
              <w:bottom w:val="single" w:sz="4" w:space="0" w:color="E7E6E6"/>
            </w:tcBorders>
            <w:vAlign w:val="center"/>
          </w:tcPr>
          <w:p w14:paraId="614DD2A5" w14:textId="106C799C" w:rsidR="00A90A07" w:rsidRPr="00A61D0E" w:rsidRDefault="00A90A07" w:rsidP="00A90A07">
            <w:pPr>
              <w:jc w:val="right"/>
              <w:rPr>
                <w:rFonts w:ascii="Source Sans Pro SemiBold" w:hAnsi="Source Sans Pro SemiBold"/>
              </w:rPr>
            </w:pPr>
            <w:r w:rsidRPr="00A61D0E">
              <w:rPr>
                <w:rFonts w:ascii="Source Sans Pro SemiBold" w:hAnsi="Source Sans Pro SemiBold"/>
              </w:rPr>
              <w:t>1,091</w:t>
            </w:r>
          </w:p>
        </w:tc>
        <w:tc>
          <w:tcPr>
            <w:tcW w:w="1478" w:type="dxa"/>
            <w:tcBorders>
              <w:bottom w:val="single" w:sz="4" w:space="0" w:color="E7E6E6"/>
              <w:right w:val="nil"/>
            </w:tcBorders>
            <w:vAlign w:val="center"/>
          </w:tcPr>
          <w:p w14:paraId="0196F131" w14:textId="77777777" w:rsidR="00A90A07" w:rsidRPr="00DD1045" w:rsidRDefault="00A90A07" w:rsidP="00A90A07">
            <w:pPr>
              <w:jc w:val="right"/>
            </w:pPr>
            <w:r>
              <w:t>975</w:t>
            </w:r>
          </w:p>
        </w:tc>
      </w:tr>
      <w:tr w:rsidR="00A90A07" w:rsidRPr="00DD1045" w14:paraId="0585C616" w14:textId="77777777" w:rsidTr="00915E6F">
        <w:trPr>
          <w:trHeight w:val="91"/>
        </w:trPr>
        <w:tc>
          <w:tcPr>
            <w:tcW w:w="6182" w:type="dxa"/>
            <w:tcBorders>
              <w:left w:val="nil"/>
              <w:bottom w:val="single" w:sz="18" w:space="0" w:color="E7E6E6"/>
            </w:tcBorders>
            <w:vAlign w:val="center"/>
          </w:tcPr>
          <w:p w14:paraId="687A7896" w14:textId="77777777" w:rsidR="00A90A07" w:rsidRPr="00DD1045" w:rsidRDefault="00A90A07" w:rsidP="00A90A07">
            <w:pPr>
              <w:pStyle w:val="ARDotpoints"/>
              <w:numPr>
                <w:ilvl w:val="0"/>
                <w:numId w:val="0"/>
              </w:numPr>
            </w:pPr>
            <w:r w:rsidRPr="00DD1045">
              <w:t>Total equity </w:t>
            </w:r>
          </w:p>
        </w:tc>
        <w:tc>
          <w:tcPr>
            <w:tcW w:w="1410" w:type="dxa"/>
            <w:tcBorders>
              <w:bottom w:val="single" w:sz="18" w:space="0" w:color="E7E6E6"/>
            </w:tcBorders>
            <w:vAlign w:val="center"/>
          </w:tcPr>
          <w:p w14:paraId="3D710086" w14:textId="31801C34" w:rsidR="00A90A07" w:rsidRPr="00A61D0E" w:rsidRDefault="00A90A07" w:rsidP="00A90A07">
            <w:pPr>
              <w:jc w:val="right"/>
              <w:rPr>
                <w:rFonts w:ascii="Source Sans Pro SemiBold" w:hAnsi="Source Sans Pro SemiBold"/>
              </w:rPr>
            </w:pPr>
            <w:r w:rsidRPr="00A61D0E">
              <w:rPr>
                <w:rFonts w:ascii="Source Sans Pro SemiBold" w:hAnsi="Source Sans Pro SemiBold"/>
              </w:rPr>
              <w:t>2,029</w:t>
            </w:r>
          </w:p>
        </w:tc>
        <w:tc>
          <w:tcPr>
            <w:tcW w:w="1478" w:type="dxa"/>
            <w:tcBorders>
              <w:bottom w:val="single" w:sz="18" w:space="0" w:color="E7E6E6"/>
              <w:right w:val="nil"/>
            </w:tcBorders>
            <w:vAlign w:val="center"/>
          </w:tcPr>
          <w:p w14:paraId="332DF7BC" w14:textId="77777777" w:rsidR="00A90A07" w:rsidRPr="00DD1045" w:rsidRDefault="00A90A07" w:rsidP="00A90A07">
            <w:pPr>
              <w:jc w:val="right"/>
            </w:pPr>
            <w:r>
              <w:t>1,897</w:t>
            </w:r>
          </w:p>
        </w:tc>
      </w:tr>
    </w:tbl>
    <w:p w14:paraId="780CE4D9" w14:textId="77777777" w:rsidR="00685A53" w:rsidRPr="00DD1045" w:rsidRDefault="00685A53" w:rsidP="00685A53">
      <w:pPr>
        <w:rPr>
          <w:sz w:val="18"/>
          <w:szCs w:val="18"/>
          <w:lang w:eastAsia="en-AU"/>
        </w:rPr>
      </w:pPr>
    </w:p>
    <w:p w14:paraId="426015AC" w14:textId="77777777" w:rsidR="00C04E4C" w:rsidRDefault="00C04E4C" w:rsidP="00685A53">
      <w:pPr>
        <w:pStyle w:val="ARHeading1"/>
        <w:sectPr w:rsidR="00C04E4C" w:rsidSect="00995EE4">
          <w:type w:val="continuous"/>
          <w:pgSz w:w="11906" w:h="16838"/>
          <w:pgMar w:top="1440" w:right="1440" w:bottom="1440" w:left="1440" w:header="708" w:footer="708" w:gutter="0"/>
          <w:cols w:space="708"/>
          <w:docGrid w:linePitch="360"/>
        </w:sectPr>
      </w:pPr>
      <w:bookmarkStart w:id="130" w:name="_Toc172009751"/>
    </w:p>
    <w:p w14:paraId="21B45524" w14:textId="77777777" w:rsidR="00685A53" w:rsidRPr="00DD1045" w:rsidRDefault="00685A53" w:rsidP="00685A53">
      <w:pPr>
        <w:pStyle w:val="ARHeading1"/>
      </w:pPr>
      <w:r w:rsidRPr="00DD1045">
        <w:t>Premium revenue </w:t>
      </w:r>
      <w:bookmarkEnd w:id="130"/>
    </w:p>
    <w:p w14:paraId="1E3306BE" w14:textId="698300B4" w:rsidR="00685A53" w:rsidRPr="00A61D0E" w:rsidRDefault="00685A53" w:rsidP="00685A53">
      <w:r w:rsidRPr="00DD1045">
        <w:t xml:space="preserve">Our net premium </w:t>
      </w:r>
      <w:r w:rsidRPr="00A61D0E">
        <w:t>revenue was $</w:t>
      </w:r>
      <w:r w:rsidR="00BC2F3D" w:rsidRPr="00A61D0E">
        <w:t xml:space="preserve">2.527B </w:t>
      </w:r>
      <w:r w:rsidRPr="00A61D0E">
        <w:t xml:space="preserve">for the year, an increase of </w:t>
      </w:r>
      <w:r w:rsidR="00BC2F3D" w:rsidRPr="00A61D0E">
        <w:t>17</w:t>
      </w:r>
      <w:r w:rsidRPr="00A61D0E">
        <w:t>% from 2022–2023. The target average premium rate for 2023–2024 increased to $1.29. Rising claims</w:t>
      </w:r>
      <w:r w:rsidRPr="00DD1045">
        <w:t xml:space="preserve"> costs </w:t>
      </w:r>
      <w:r>
        <w:t xml:space="preserve">caused by mental injuries and complex claims </w:t>
      </w:r>
      <w:r w:rsidRPr="00DD1045">
        <w:t xml:space="preserve">are continuing to </w:t>
      </w:r>
      <w:r>
        <w:t>put</w:t>
      </w:r>
      <w:r w:rsidRPr="00DD1045">
        <w:t xml:space="preserve"> pressure on our </w:t>
      </w:r>
      <w:r>
        <w:t>scheme.</w:t>
      </w:r>
      <w:r w:rsidRPr="00DD1045">
        <w:t xml:space="preserve"> For the new financial year 2024</w:t>
      </w:r>
      <w:r w:rsidR="001A4604">
        <w:t>–</w:t>
      </w:r>
      <w:r>
        <w:t>2025</w:t>
      </w:r>
      <w:r w:rsidRPr="00DD1045">
        <w:t xml:space="preserve">, WorkCover’s average net premium rate will move </w:t>
      </w:r>
      <w:r w:rsidRPr="00A61D0E">
        <w:t xml:space="preserve">to $1.343 per $100 of wages, after discounts, continuing to be </w:t>
      </w:r>
      <w:r w:rsidRPr="00A61D0E">
        <w:t>one of the lowest average premium rates for workers’ compensation insurance in Australia. </w:t>
      </w:r>
    </w:p>
    <w:p w14:paraId="26967780" w14:textId="77777777" w:rsidR="00685A53" w:rsidRPr="00A61D0E" w:rsidRDefault="00685A53" w:rsidP="00685A53"/>
    <w:p w14:paraId="7573201F" w14:textId="77777777" w:rsidR="00685A53" w:rsidRPr="00A61D0E" w:rsidRDefault="00685A53" w:rsidP="00685A53">
      <w:pPr>
        <w:pStyle w:val="ARHeading1"/>
      </w:pPr>
      <w:bookmarkStart w:id="131" w:name="_Toc172009752"/>
      <w:r w:rsidRPr="00A61D0E">
        <w:t>Net claims incurred</w:t>
      </w:r>
      <w:bookmarkEnd w:id="131"/>
      <w:r w:rsidRPr="00A61D0E">
        <w:t> </w:t>
      </w:r>
    </w:p>
    <w:p w14:paraId="5CA42F0F" w14:textId="30BD013C" w:rsidR="00685A53" w:rsidRPr="00DD1045" w:rsidRDefault="00685A53" w:rsidP="00685A53">
      <w:r w:rsidRPr="00A61D0E">
        <w:t>Net claims incurred were $</w:t>
      </w:r>
      <w:r w:rsidR="00BC2F3D" w:rsidRPr="00A61D0E">
        <w:t>2.</w:t>
      </w:r>
      <w:r w:rsidR="00B4216B" w:rsidRPr="00A61D0E">
        <w:t xml:space="preserve">838B </w:t>
      </w:r>
      <w:r w:rsidRPr="00A61D0E">
        <w:t>for 2023–2024 (2022–2023: $2.420B).</w:t>
      </w:r>
      <w:r>
        <w:t> </w:t>
      </w:r>
    </w:p>
    <w:p w14:paraId="21AE3E93" w14:textId="05E6DBC0" w:rsidR="00685A53" w:rsidRPr="00DD1045" w:rsidRDefault="00537889" w:rsidP="00685A53">
      <w:r w:rsidRPr="00537889">
        <w:t xml:space="preserve">The net claims costs increase in 2023–2024 was largely driven by an increase in statutory and common law claims experience, but also the </w:t>
      </w:r>
      <w:r w:rsidRPr="00537889">
        <w:lastRenderedPageBreak/>
        <w:t>movement in the net outstanding claims provision compared to 2022</w:t>
      </w:r>
      <w:r w:rsidR="00AA4EB1" w:rsidRPr="00537889">
        <w:t>–</w:t>
      </w:r>
      <w:r w:rsidRPr="00537889">
        <w:t>2023</w:t>
      </w:r>
      <w:r w:rsidR="00685A53" w:rsidRPr="00DD1045">
        <w:t xml:space="preserve">. </w:t>
      </w:r>
      <w:r w:rsidR="00394213">
        <w:t>The s</w:t>
      </w:r>
      <w:r w:rsidR="00C828AA" w:rsidRPr="00C828AA">
        <w:t xml:space="preserve">tatutory claims costs increase has been primarily driven by higher weekly compensation claims and medical claims expenses. </w:t>
      </w:r>
      <w:r w:rsidR="00394213">
        <w:t>The c</w:t>
      </w:r>
      <w:r w:rsidR="00C828AA" w:rsidRPr="00C828AA">
        <w:t>ommon law costs increase has been driven by higher claim finalisations compared to 2022</w:t>
      </w:r>
      <w:r w:rsidR="00394213" w:rsidRPr="00537889">
        <w:t>–</w:t>
      </w:r>
      <w:r w:rsidR="00C828AA" w:rsidRPr="00C828AA">
        <w:t>2023. The increase in the outstanding claims provision is primarily driven by increasing weekly compensation and an increase in National Injury Insurance Scheme Queensland (NIISQ) claims</w:t>
      </w:r>
      <w:r w:rsidR="00685A53" w:rsidRPr="00DD1045">
        <w:t>. </w:t>
      </w:r>
    </w:p>
    <w:p w14:paraId="34A34500" w14:textId="77777777" w:rsidR="00685A53" w:rsidRPr="00DD1045" w:rsidRDefault="00685A53" w:rsidP="00685A53"/>
    <w:p w14:paraId="769AE24B" w14:textId="77777777" w:rsidR="00685A53" w:rsidRPr="00DD1045" w:rsidRDefault="00685A53" w:rsidP="00685A53">
      <w:pPr>
        <w:pStyle w:val="ARHeading1"/>
      </w:pPr>
      <w:bookmarkStart w:id="132" w:name="_Toc172009753"/>
      <w:r w:rsidRPr="00DD1045">
        <w:t>Underwriting expenses</w:t>
      </w:r>
      <w:bookmarkEnd w:id="132"/>
      <w:r w:rsidRPr="00DD1045">
        <w:t> </w:t>
      </w:r>
    </w:p>
    <w:p w14:paraId="2EE85A86" w14:textId="77777777" w:rsidR="00685A53" w:rsidRPr="00DD1045" w:rsidRDefault="00685A53" w:rsidP="00685A53">
      <w:r w:rsidRPr="00DD1045">
        <w:t>Underwriting expenses include WorkCover’s management and operational expenses and the levy payable to the Workers’ Compensation Regulatory Services (</w:t>
      </w:r>
      <w:r w:rsidRPr="00AE0498">
        <w:t>WCRS</w:t>
      </w:r>
      <w:r w:rsidRPr="00DD1045">
        <w:t>) and Workplace Health and Safety Queensland (</w:t>
      </w:r>
      <w:r w:rsidRPr="00AE0498">
        <w:t>WHSQ</w:t>
      </w:r>
      <w:r w:rsidRPr="00DD1045">
        <w:t>). To meet disclosure requirements under accounting standards, the claims handling expense portion of the underwriting expenses is added to gross claims expense to reflect the total cost of administering claims during the year. </w:t>
      </w:r>
    </w:p>
    <w:p w14:paraId="22E58326" w14:textId="77777777" w:rsidR="00685A53" w:rsidRPr="00DD1045" w:rsidRDefault="00685A53" w:rsidP="00685A53">
      <w:r w:rsidRPr="00DD1045">
        <w:t> </w:t>
      </w:r>
    </w:p>
    <w:p w14:paraId="59E512AF" w14:textId="77777777" w:rsidR="00685A53" w:rsidRPr="00DD1045" w:rsidRDefault="00685A53" w:rsidP="00685A53">
      <w:pPr>
        <w:pStyle w:val="ARHeading1"/>
      </w:pPr>
      <w:bookmarkStart w:id="133" w:name="_Toc172009754"/>
      <w:r w:rsidRPr="00DD1045">
        <w:t>Investment portfolio</w:t>
      </w:r>
      <w:bookmarkEnd w:id="133"/>
      <w:r w:rsidRPr="00DD1045">
        <w:t> </w:t>
      </w:r>
    </w:p>
    <w:p w14:paraId="440AA129" w14:textId="630724E6" w:rsidR="00685A53" w:rsidRPr="00DD1045" w:rsidRDefault="00685A53" w:rsidP="00685A53">
      <w:r>
        <w:t>WorkCover’s investment portfolio is managed by Queensland Investment Corporation (</w:t>
      </w:r>
      <w:r w:rsidRPr="00AE0498">
        <w:t>QIC</w:t>
      </w:r>
      <w:r>
        <w:t xml:space="preserve">). The net market value in funds invested as at 30 June 2024 </w:t>
      </w:r>
      <w:r w:rsidRPr="00A61D0E">
        <w:t>was $</w:t>
      </w:r>
      <w:r w:rsidR="000A63B1" w:rsidRPr="00A61D0E">
        <w:t>6.4</w:t>
      </w:r>
      <w:r w:rsidR="00E04D7A" w:rsidRPr="00A61D0E">
        <w:t>36</w:t>
      </w:r>
      <w:r w:rsidR="000A63B1" w:rsidRPr="00A61D0E">
        <w:t xml:space="preserve">B </w:t>
      </w:r>
      <w:r w:rsidRPr="00A61D0E">
        <w:t xml:space="preserve">(30 June 2023: $5.730B). The net return on this investment portfolio for the year was </w:t>
      </w:r>
      <w:r w:rsidR="00A65027" w:rsidRPr="00A61D0E">
        <w:t>8.71</w:t>
      </w:r>
      <w:r w:rsidRPr="00A61D0E">
        <w:t>% (2022–2023: 5.77%). WorkCover</w:t>
      </w:r>
      <w:r>
        <w:t xml:space="preserve"> has experienced a recovery in investment returns this financial year after significant shifts in the market value of the financial instruments as a result of global and economic factors. WorkCover will continue to work with QIC to effectively manage our investment risk to ensure our portfolio achieves its long-term objectives. </w:t>
      </w:r>
    </w:p>
    <w:p w14:paraId="66D576B6" w14:textId="77777777" w:rsidR="00685A53" w:rsidRPr="00DD1045" w:rsidRDefault="00685A53" w:rsidP="00685A53">
      <w:r w:rsidRPr="00DD1045">
        <w:t> </w:t>
      </w:r>
    </w:p>
    <w:p w14:paraId="263815A3" w14:textId="77777777" w:rsidR="00685A53" w:rsidRPr="00DD1045" w:rsidRDefault="00685A53" w:rsidP="00685A53">
      <w:pPr>
        <w:pStyle w:val="ARHeading1"/>
      </w:pPr>
      <w:bookmarkStart w:id="134" w:name="_Toc172009755"/>
      <w:r w:rsidRPr="00DD1045">
        <w:t>Capital adequacy</w:t>
      </w:r>
      <w:bookmarkEnd w:id="134"/>
      <w:r w:rsidRPr="00DD1045">
        <w:t> </w:t>
      </w:r>
    </w:p>
    <w:p w14:paraId="50A2C8CF" w14:textId="25E2391F" w:rsidR="00685A53" w:rsidRPr="00DD1045" w:rsidRDefault="00685A53" w:rsidP="00685A53">
      <w:r>
        <w:t xml:space="preserve">The </w:t>
      </w:r>
      <w:r w:rsidR="00235EDA" w:rsidRPr="009842D8">
        <w:rPr>
          <w:i/>
          <w:iCs/>
        </w:rPr>
        <w:t xml:space="preserve">Workers’ Compensation and Rehabilitation </w:t>
      </w:r>
      <w:r w:rsidRPr="009842D8">
        <w:rPr>
          <w:i/>
          <w:iCs/>
        </w:rPr>
        <w:t>Act</w:t>
      </w:r>
      <w:r w:rsidR="00235EDA" w:rsidRPr="009842D8">
        <w:rPr>
          <w:i/>
          <w:iCs/>
        </w:rPr>
        <w:t xml:space="preserve"> 2003</w:t>
      </w:r>
      <w:r>
        <w:t xml:space="preserve"> outlines specific requirements that </w:t>
      </w:r>
      <w:r>
        <w:t xml:space="preserve">WorkCover must meet to be fully funded. WorkCover is fully funded if total assets are at least equal to its liabilities. WorkCover is currently achieving both our legislative requirements </w:t>
      </w:r>
      <w:r w:rsidRPr="00CD5C88">
        <w:t>(100%) and the Board’s aim of maintaining a funding ratio of at least 120%. </w:t>
      </w:r>
    </w:p>
    <w:p w14:paraId="0FFE88B1" w14:textId="77777777" w:rsidR="00685A53" w:rsidRPr="00DD1045" w:rsidRDefault="00685A53" w:rsidP="00685A53">
      <w:r w:rsidRPr="00DD1045">
        <w:t> </w:t>
      </w:r>
    </w:p>
    <w:p w14:paraId="32CE9976" w14:textId="387E47E1" w:rsidR="00685A53" w:rsidRPr="00DD1045" w:rsidRDefault="00685A53" w:rsidP="00685A53">
      <w:pPr>
        <w:pStyle w:val="ARHeading1"/>
      </w:pPr>
      <w:bookmarkStart w:id="135" w:name="_Toc172009756"/>
      <w:r w:rsidRPr="00DD1045">
        <w:t>Looking to the future</w:t>
      </w:r>
      <w:bookmarkEnd w:id="135"/>
      <w:r w:rsidRPr="00DD1045">
        <w:t> </w:t>
      </w:r>
    </w:p>
    <w:p w14:paraId="3AE20F52" w14:textId="77777777" w:rsidR="00685A53" w:rsidRPr="00DD1045" w:rsidRDefault="00685A53" w:rsidP="00685A53">
      <w:r w:rsidRPr="00DD1045">
        <w:t>WorkCover continues to use prudent financial management to ensure a balanced and financially viable scheme for all customers and stakeholders. Part of this continuing prudent financial management includes a focus by WorkCover on continuing to operate within budget, investing in technology upgrades, achieving value for money, and more generally, ensuring WorkCover continues to minimise its costs and risks in relation to its liabilities. </w:t>
      </w:r>
    </w:p>
    <w:p w14:paraId="20EBD2FD" w14:textId="1F51B595" w:rsidR="00A964C0" w:rsidRPr="00DD1045" w:rsidRDefault="00685A53" w:rsidP="00D73777">
      <w:r w:rsidRPr="00DD1045">
        <w:t>Premiums will be set and claims and operational expenses carefully managed in order to continue to deliver a balanced scheme and we will ensure our long term investment strategy is built around a balanced portfolio. Our in-house statutory claims management model allow</w:t>
      </w:r>
      <w:r w:rsidR="002529ED">
        <w:t>s</w:t>
      </w:r>
      <w:r w:rsidRPr="00DD1045">
        <w:t xml:space="preserve"> us to continue to progress several claims management strategies to facilitate injured workers’ return to work as quickly and safely as possible. It also allows us to optimise treating services to ensure workers get the right treatment at the right price. </w:t>
      </w:r>
    </w:p>
    <w:p w14:paraId="2C5B8A01" w14:textId="77777777" w:rsidR="00995EE4" w:rsidRDefault="00995EE4" w:rsidP="00A964C0">
      <w:pPr>
        <w:pStyle w:val="ARSub-heading1"/>
      </w:pPr>
    </w:p>
    <w:p w14:paraId="17F054FA" w14:textId="77777777" w:rsidR="00C04E4C" w:rsidRDefault="00C04E4C" w:rsidP="00A964C0">
      <w:pPr>
        <w:pStyle w:val="ARSub-heading1"/>
      </w:pPr>
    </w:p>
    <w:p w14:paraId="02F867B8" w14:textId="77777777" w:rsidR="00C04E4C" w:rsidRDefault="00C04E4C" w:rsidP="00A964C0">
      <w:pPr>
        <w:pStyle w:val="ARSub-heading1"/>
      </w:pPr>
    </w:p>
    <w:p w14:paraId="2A1F2FA1" w14:textId="77777777" w:rsidR="00C04E4C" w:rsidRDefault="00C04E4C" w:rsidP="00A964C0">
      <w:pPr>
        <w:pStyle w:val="ARSub-heading1"/>
      </w:pPr>
    </w:p>
    <w:p w14:paraId="4FA5EE39" w14:textId="77777777" w:rsidR="00C04E4C" w:rsidRDefault="00C04E4C" w:rsidP="00A964C0">
      <w:pPr>
        <w:pStyle w:val="ARSub-heading1"/>
      </w:pPr>
    </w:p>
    <w:p w14:paraId="597EDBA2" w14:textId="77777777" w:rsidR="00C04E4C" w:rsidRDefault="00C04E4C" w:rsidP="00A964C0">
      <w:pPr>
        <w:pStyle w:val="ARSub-heading1"/>
      </w:pPr>
    </w:p>
    <w:p w14:paraId="0EB1C076" w14:textId="77777777" w:rsidR="00C04E4C" w:rsidRDefault="00C04E4C" w:rsidP="00A964C0">
      <w:pPr>
        <w:pStyle w:val="ARSub-heading1"/>
      </w:pPr>
    </w:p>
    <w:p w14:paraId="72CCE11C" w14:textId="77777777" w:rsidR="00C04E4C" w:rsidRDefault="00C04E4C" w:rsidP="00A964C0">
      <w:pPr>
        <w:pStyle w:val="ARSub-heading1"/>
      </w:pPr>
    </w:p>
    <w:p w14:paraId="674BB6A3" w14:textId="77777777" w:rsidR="00995EE4" w:rsidRDefault="00995EE4" w:rsidP="00A964C0">
      <w:pPr>
        <w:pStyle w:val="ARSub-heading1"/>
        <w:sectPr w:rsidR="00995EE4" w:rsidSect="00C04E4C">
          <w:type w:val="continuous"/>
          <w:pgSz w:w="11906" w:h="16838"/>
          <w:pgMar w:top="1440" w:right="1440" w:bottom="1440" w:left="1440" w:header="708" w:footer="708" w:gutter="0"/>
          <w:cols w:num="2" w:space="708"/>
          <w:docGrid w:linePitch="360"/>
        </w:sectPr>
      </w:pPr>
    </w:p>
    <w:p w14:paraId="19717E23" w14:textId="77777777" w:rsidR="00D73777" w:rsidRDefault="00D73777" w:rsidP="00D73777">
      <w:pPr>
        <w:sectPr w:rsidR="00D73777" w:rsidSect="0012721E">
          <w:type w:val="continuous"/>
          <w:pgSz w:w="11906" w:h="16838"/>
          <w:pgMar w:top="1440" w:right="1440" w:bottom="1440" w:left="1440" w:header="708" w:footer="708" w:gutter="0"/>
          <w:cols w:space="708"/>
          <w:docGrid w:linePitch="360"/>
        </w:sectPr>
      </w:pPr>
    </w:p>
    <w:p w14:paraId="1188AC27" w14:textId="61DDF2B0" w:rsidR="002E4A02" w:rsidRPr="00DD1045" w:rsidRDefault="002E4A02" w:rsidP="001A4604">
      <w:pPr>
        <w:pStyle w:val="ARMainTitle"/>
        <w:pBdr>
          <w:bottom w:val="single" w:sz="4" w:space="1" w:color="auto"/>
        </w:pBdr>
      </w:pPr>
      <w:bookmarkStart w:id="136" w:name="_Toc172009757"/>
      <w:r w:rsidRPr="00DD1045">
        <w:lastRenderedPageBreak/>
        <w:t>Consolidated financial statements</w:t>
      </w:r>
      <w:bookmarkEnd w:id="136"/>
    </w:p>
    <w:p w14:paraId="6A46FE35" w14:textId="77777777" w:rsidR="002B7388" w:rsidRPr="00DD1045" w:rsidRDefault="002B7388" w:rsidP="002E4A02"/>
    <w:p w14:paraId="3AE4686F" w14:textId="09264584" w:rsidR="00EF2968" w:rsidRPr="00DD1045" w:rsidRDefault="006C3A78" w:rsidP="00EF2968">
      <w:r>
        <w:t>Available as separate PDF.</w:t>
      </w:r>
    </w:p>
    <w:p w14:paraId="33BCCEE8" w14:textId="77777777" w:rsidR="002E4A02" w:rsidRPr="00DD1045" w:rsidRDefault="002E4A02" w:rsidP="002E4A02"/>
    <w:p w14:paraId="3E378833" w14:textId="77777777" w:rsidR="002E4A02" w:rsidRPr="00DD1045" w:rsidRDefault="002E4A02">
      <w:r w:rsidRPr="00DD1045">
        <w:br w:type="page"/>
      </w:r>
    </w:p>
    <w:p w14:paraId="4C265786" w14:textId="77777777" w:rsidR="00AF5394" w:rsidRDefault="00AF5394" w:rsidP="002E4A02">
      <w:pPr>
        <w:pStyle w:val="ARMainTitle"/>
        <w:pBdr>
          <w:bottom w:val="single" w:sz="4" w:space="1" w:color="auto"/>
        </w:pBdr>
        <w:sectPr w:rsidR="00AF5394" w:rsidSect="0012721E">
          <w:type w:val="continuous"/>
          <w:pgSz w:w="11906" w:h="16838"/>
          <w:pgMar w:top="1440" w:right="1440" w:bottom="1440" w:left="1440" w:header="708" w:footer="708" w:gutter="0"/>
          <w:cols w:space="708"/>
          <w:docGrid w:linePitch="360"/>
        </w:sectPr>
      </w:pPr>
      <w:bookmarkStart w:id="137" w:name="_Toc172009758"/>
    </w:p>
    <w:p w14:paraId="434113A2" w14:textId="6D5A59E5" w:rsidR="002E4A02" w:rsidRPr="00DD1045" w:rsidRDefault="002E4A02" w:rsidP="002E4A02">
      <w:pPr>
        <w:pStyle w:val="ARMainTitle"/>
        <w:pBdr>
          <w:bottom w:val="single" w:sz="4" w:space="1" w:color="auto"/>
        </w:pBdr>
      </w:pPr>
      <w:r w:rsidRPr="00DD1045">
        <w:lastRenderedPageBreak/>
        <w:t>Compliance checklist</w:t>
      </w:r>
      <w:bookmarkEnd w:id="137"/>
    </w:p>
    <w:p w14:paraId="445D08A7" w14:textId="77777777" w:rsidR="002B7388" w:rsidRPr="00DD1045" w:rsidRDefault="002B7388" w:rsidP="002E4A02"/>
    <w:tbl>
      <w:tblPr>
        <w:tblStyle w:val="TableGrid"/>
        <w:tblW w:w="902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560"/>
        <w:gridCol w:w="3510"/>
        <w:gridCol w:w="2284"/>
        <w:gridCol w:w="1672"/>
      </w:tblGrid>
      <w:tr w:rsidR="00EF2968" w:rsidRPr="00DD1045" w14:paraId="372542B4" w14:textId="2DEC491C" w:rsidTr="00DB5597">
        <w:trPr>
          <w:trHeight w:val="567"/>
          <w:tblHeader/>
        </w:trPr>
        <w:tc>
          <w:tcPr>
            <w:tcW w:w="5070" w:type="dxa"/>
            <w:gridSpan w:val="2"/>
            <w:tcBorders>
              <w:left w:val="nil"/>
              <w:bottom w:val="nil"/>
              <w:right w:val="nil"/>
            </w:tcBorders>
            <w:shd w:val="clear" w:color="auto" w:fill="AEAAAA" w:themeFill="background2" w:themeFillShade="BF"/>
            <w:vAlign w:val="center"/>
          </w:tcPr>
          <w:p w14:paraId="1F9F2398" w14:textId="43B1EB7B" w:rsidR="00EF2968" w:rsidRPr="00DD1045" w:rsidRDefault="00EF2968" w:rsidP="004C1FB9">
            <w:pPr>
              <w:rPr>
                <w:color w:val="FFFFFF" w:themeColor="background1"/>
                <w:sz w:val="16"/>
                <w:szCs w:val="16"/>
              </w:rPr>
            </w:pPr>
            <w:r w:rsidRPr="00DD1045">
              <w:rPr>
                <w:color w:val="FFFFFF" w:themeColor="background1"/>
                <w:sz w:val="16"/>
                <w:szCs w:val="16"/>
              </w:rPr>
              <w:t>Summary of requirement</w:t>
            </w:r>
          </w:p>
        </w:tc>
        <w:tc>
          <w:tcPr>
            <w:tcW w:w="2284" w:type="dxa"/>
            <w:tcBorders>
              <w:left w:val="nil"/>
              <w:bottom w:val="nil"/>
              <w:right w:val="nil"/>
            </w:tcBorders>
            <w:shd w:val="clear" w:color="auto" w:fill="AEAAAA" w:themeFill="background2" w:themeFillShade="BF"/>
            <w:vAlign w:val="center"/>
          </w:tcPr>
          <w:p w14:paraId="02580963" w14:textId="0157B80D" w:rsidR="00EF2968" w:rsidRPr="00DD1045" w:rsidRDefault="00EF2968" w:rsidP="00A964C0">
            <w:pPr>
              <w:rPr>
                <w:color w:val="FFFFFF" w:themeColor="background1"/>
                <w:sz w:val="16"/>
                <w:szCs w:val="16"/>
              </w:rPr>
            </w:pPr>
            <w:r w:rsidRPr="00DD1045">
              <w:rPr>
                <w:color w:val="FFFFFF" w:themeColor="background1"/>
                <w:sz w:val="16"/>
                <w:szCs w:val="16"/>
              </w:rPr>
              <w:t>Basis for requirement</w:t>
            </w:r>
          </w:p>
        </w:tc>
        <w:tc>
          <w:tcPr>
            <w:tcW w:w="1672" w:type="dxa"/>
            <w:tcBorders>
              <w:left w:val="nil"/>
              <w:bottom w:val="nil"/>
              <w:right w:val="nil"/>
            </w:tcBorders>
            <w:shd w:val="clear" w:color="auto" w:fill="AEAAAA" w:themeFill="background2" w:themeFillShade="BF"/>
            <w:vAlign w:val="center"/>
          </w:tcPr>
          <w:p w14:paraId="5CBD955B" w14:textId="38B277BC" w:rsidR="00EF2968" w:rsidRPr="00DD1045" w:rsidRDefault="00EF2968" w:rsidP="009551BA">
            <w:pPr>
              <w:jc w:val="center"/>
              <w:rPr>
                <w:color w:val="FFFFFF" w:themeColor="background1"/>
                <w:sz w:val="16"/>
                <w:szCs w:val="16"/>
              </w:rPr>
            </w:pPr>
            <w:r w:rsidRPr="00DD1045">
              <w:rPr>
                <w:color w:val="FFFFFF" w:themeColor="background1"/>
                <w:sz w:val="16"/>
                <w:szCs w:val="16"/>
              </w:rPr>
              <w:t>Annual report reference</w:t>
            </w:r>
          </w:p>
        </w:tc>
      </w:tr>
      <w:tr w:rsidR="00C85103" w:rsidRPr="00DD1045" w14:paraId="6DF6E0CF" w14:textId="7017AA42" w:rsidTr="00DB5597">
        <w:trPr>
          <w:trHeight w:val="567"/>
        </w:trPr>
        <w:tc>
          <w:tcPr>
            <w:tcW w:w="1560" w:type="dxa"/>
            <w:tcBorders>
              <w:top w:val="nil"/>
              <w:left w:val="nil"/>
              <w:bottom w:val="nil"/>
              <w:right w:val="nil"/>
            </w:tcBorders>
            <w:shd w:val="clear" w:color="auto" w:fill="auto"/>
            <w:vAlign w:val="center"/>
          </w:tcPr>
          <w:p w14:paraId="26B839FC" w14:textId="0E80BDB9" w:rsidR="009551BA" w:rsidRPr="00DD1045" w:rsidRDefault="009551BA" w:rsidP="00C85103">
            <w:pPr>
              <w:spacing w:before="60" w:after="60"/>
              <w:rPr>
                <w:b/>
                <w:bCs/>
                <w:sz w:val="16"/>
                <w:szCs w:val="16"/>
              </w:rPr>
            </w:pPr>
            <w:r w:rsidRPr="00DD1045">
              <w:rPr>
                <w:b/>
                <w:bCs/>
                <w:sz w:val="16"/>
                <w:szCs w:val="16"/>
              </w:rPr>
              <w:t>Letter of compliance</w:t>
            </w:r>
          </w:p>
        </w:tc>
        <w:tc>
          <w:tcPr>
            <w:tcW w:w="3510" w:type="dxa"/>
            <w:tcBorders>
              <w:top w:val="nil"/>
              <w:left w:val="nil"/>
              <w:bottom w:val="nil"/>
              <w:right w:val="nil"/>
            </w:tcBorders>
            <w:shd w:val="clear" w:color="auto" w:fill="auto"/>
            <w:vAlign w:val="center"/>
          </w:tcPr>
          <w:p w14:paraId="2B7CCDFB" w14:textId="3B84C6D3" w:rsidR="009551BA" w:rsidRPr="00DD1045" w:rsidRDefault="009551BA" w:rsidP="00C85103">
            <w:pPr>
              <w:pStyle w:val="ARDotpoints"/>
              <w:spacing w:before="60"/>
              <w:ind w:left="459"/>
              <w:rPr>
                <w:sz w:val="16"/>
                <w:szCs w:val="16"/>
              </w:rPr>
            </w:pPr>
            <w:r w:rsidRPr="00DD1045">
              <w:rPr>
                <w:sz w:val="16"/>
                <w:szCs w:val="16"/>
              </w:rPr>
              <w:t>A letter of compliance from the accountable officer or statutory body to the relevant Minister/s</w:t>
            </w:r>
          </w:p>
        </w:tc>
        <w:tc>
          <w:tcPr>
            <w:tcW w:w="2284" w:type="dxa"/>
            <w:tcBorders>
              <w:top w:val="nil"/>
              <w:left w:val="nil"/>
              <w:bottom w:val="nil"/>
              <w:right w:val="nil"/>
            </w:tcBorders>
            <w:shd w:val="clear" w:color="auto" w:fill="auto"/>
          </w:tcPr>
          <w:p w14:paraId="16C59BE7" w14:textId="55F7DFE5" w:rsidR="009551BA" w:rsidRPr="00DD1045" w:rsidRDefault="00C85103" w:rsidP="00C85103">
            <w:pPr>
              <w:spacing w:before="60" w:after="60"/>
              <w:rPr>
                <w:sz w:val="16"/>
                <w:szCs w:val="16"/>
              </w:rPr>
            </w:pPr>
            <w:r w:rsidRPr="00DD1045">
              <w:rPr>
                <w:sz w:val="16"/>
                <w:szCs w:val="16"/>
              </w:rPr>
              <w:t>ARRs – section 7</w:t>
            </w:r>
          </w:p>
        </w:tc>
        <w:tc>
          <w:tcPr>
            <w:tcW w:w="1672" w:type="dxa"/>
            <w:tcBorders>
              <w:top w:val="nil"/>
              <w:left w:val="nil"/>
              <w:bottom w:val="nil"/>
              <w:right w:val="nil"/>
            </w:tcBorders>
            <w:shd w:val="clear" w:color="auto" w:fill="auto"/>
          </w:tcPr>
          <w:p w14:paraId="56EB9CE3" w14:textId="388DF1F1" w:rsidR="009551BA" w:rsidRPr="00DD1045" w:rsidRDefault="66E3E554" w:rsidP="00C85103">
            <w:pPr>
              <w:spacing w:before="240"/>
              <w:rPr>
                <w:sz w:val="16"/>
                <w:szCs w:val="16"/>
              </w:rPr>
            </w:pPr>
            <w:r w:rsidRPr="0862FBEE">
              <w:rPr>
                <w:sz w:val="16"/>
                <w:szCs w:val="16"/>
              </w:rPr>
              <w:t>Letter of compliance</w:t>
            </w:r>
          </w:p>
        </w:tc>
      </w:tr>
      <w:tr w:rsidR="00AE6ABE" w:rsidRPr="00DD1045" w14:paraId="66F5E26D" w14:textId="27EE947F" w:rsidTr="00DB5597">
        <w:trPr>
          <w:trHeight w:val="567"/>
        </w:trPr>
        <w:tc>
          <w:tcPr>
            <w:tcW w:w="1560" w:type="dxa"/>
            <w:vMerge w:val="restart"/>
            <w:tcBorders>
              <w:top w:val="nil"/>
              <w:left w:val="nil"/>
              <w:bottom w:val="nil"/>
              <w:right w:val="nil"/>
            </w:tcBorders>
            <w:shd w:val="clear" w:color="auto" w:fill="auto"/>
          </w:tcPr>
          <w:p w14:paraId="331B621B" w14:textId="5F801F2C" w:rsidR="00AE6ABE" w:rsidRPr="00DD1045" w:rsidRDefault="00AE6ABE" w:rsidP="00C85103">
            <w:pPr>
              <w:spacing w:before="60" w:after="60"/>
              <w:rPr>
                <w:b/>
                <w:bCs/>
                <w:sz w:val="16"/>
                <w:szCs w:val="16"/>
              </w:rPr>
            </w:pPr>
            <w:r w:rsidRPr="00DD1045">
              <w:rPr>
                <w:b/>
                <w:bCs/>
                <w:sz w:val="16"/>
                <w:szCs w:val="16"/>
              </w:rPr>
              <w:t>Accessibility</w:t>
            </w:r>
          </w:p>
        </w:tc>
        <w:tc>
          <w:tcPr>
            <w:tcW w:w="3510" w:type="dxa"/>
            <w:tcBorders>
              <w:top w:val="nil"/>
              <w:left w:val="nil"/>
              <w:bottom w:val="nil"/>
              <w:right w:val="nil"/>
            </w:tcBorders>
            <w:shd w:val="clear" w:color="auto" w:fill="auto"/>
          </w:tcPr>
          <w:p w14:paraId="7698F682" w14:textId="77777777" w:rsidR="00AE6ABE" w:rsidRPr="00DD1045" w:rsidRDefault="00AE6ABE" w:rsidP="00C85103">
            <w:pPr>
              <w:pStyle w:val="ARDotpoints"/>
              <w:spacing w:before="60"/>
              <w:ind w:left="459"/>
              <w:rPr>
                <w:sz w:val="16"/>
                <w:szCs w:val="16"/>
              </w:rPr>
            </w:pPr>
            <w:r w:rsidRPr="00DD1045">
              <w:rPr>
                <w:sz w:val="16"/>
                <w:szCs w:val="16"/>
              </w:rPr>
              <w:t>Table of contents</w:t>
            </w:r>
          </w:p>
          <w:p w14:paraId="3C8F77DB" w14:textId="1BD4DE13" w:rsidR="00AE6ABE" w:rsidRPr="00DD1045" w:rsidRDefault="00AE6ABE" w:rsidP="00C85103">
            <w:pPr>
              <w:pStyle w:val="ARDotpoints"/>
              <w:spacing w:before="60"/>
              <w:ind w:left="459"/>
              <w:rPr>
                <w:sz w:val="16"/>
                <w:szCs w:val="16"/>
              </w:rPr>
            </w:pPr>
            <w:r w:rsidRPr="00DD1045">
              <w:rPr>
                <w:sz w:val="16"/>
                <w:szCs w:val="16"/>
              </w:rPr>
              <w:t>Glossary</w:t>
            </w:r>
          </w:p>
        </w:tc>
        <w:tc>
          <w:tcPr>
            <w:tcW w:w="2284" w:type="dxa"/>
            <w:tcBorders>
              <w:top w:val="nil"/>
              <w:left w:val="nil"/>
              <w:bottom w:val="nil"/>
              <w:right w:val="nil"/>
            </w:tcBorders>
            <w:shd w:val="clear" w:color="auto" w:fill="auto"/>
          </w:tcPr>
          <w:p w14:paraId="6A3E2004" w14:textId="60730168" w:rsidR="00AE6ABE" w:rsidRPr="00DD1045" w:rsidRDefault="00AE6ABE" w:rsidP="00C85103">
            <w:pPr>
              <w:spacing w:before="60" w:after="60"/>
              <w:rPr>
                <w:sz w:val="16"/>
                <w:szCs w:val="16"/>
              </w:rPr>
            </w:pPr>
            <w:r w:rsidRPr="00DD1045">
              <w:rPr>
                <w:sz w:val="16"/>
                <w:szCs w:val="16"/>
              </w:rPr>
              <w:t>ARRs – section 9.1</w:t>
            </w:r>
          </w:p>
        </w:tc>
        <w:tc>
          <w:tcPr>
            <w:tcW w:w="1672" w:type="dxa"/>
            <w:tcBorders>
              <w:top w:val="nil"/>
              <w:left w:val="nil"/>
              <w:bottom w:val="nil"/>
              <w:right w:val="nil"/>
            </w:tcBorders>
            <w:shd w:val="clear" w:color="auto" w:fill="auto"/>
          </w:tcPr>
          <w:p w14:paraId="5CBA7E2A" w14:textId="18652C40" w:rsidR="00AE6ABE" w:rsidRPr="00DD1045" w:rsidRDefault="4DDCBBBA" w:rsidP="0862FBEE">
            <w:pPr>
              <w:rPr>
                <w:sz w:val="16"/>
                <w:szCs w:val="16"/>
              </w:rPr>
            </w:pPr>
            <w:r w:rsidRPr="0862FBEE">
              <w:rPr>
                <w:sz w:val="16"/>
                <w:szCs w:val="16"/>
              </w:rPr>
              <w:t>Contents Page</w:t>
            </w:r>
          </w:p>
          <w:p w14:paraId="06C3926C" w14:textId="0F9067A6" w:rsidR="00AE6ABE" w:rsidRPr="00DD1045" w:rsidRDefault="4DDCBBBA" w:rsidP="004C1FB9">
            <w:pPr>
              <w:rPr>
                <w:sz w:val="16"/>
                <w:szCs w:val="16"/>
              </w:rPr>
            </w:pPr>
            <w:r w:rsidRPr="0862FBEE">
              <w:rPr>
                <w:sz w:val="16"/>
                <w:szCs w:val="16"/>
              </w:rPr>
              <w:t>Glossary</w:t>
            </w:r>
          </w:p>
        </w:tc>
      </w:tr>
      <w:tr w:rsidR="00AE6ABE" w:rsidRPr="00DD1045" w14:paraId="743FD0D8" w14:textId="17D4FB40" w:rsidTr="00DB5597">
        <w:trPr>
          <w:trHeight w:val="567"/>
        </w:trPr>
        <w:tc>
          <w:tcPr>
            <w:tcW w:w="1560" w:type="dxa"/>
            <w:vMerge/>
            <w:tcBorders>
              <w:top w:val="nil"/>
              <w:left w:val="nil"/>
              <w:bottom w:val="nil"/>
              <w:right w:val="nil"/>
            </w:tcBorders>
          </w:tcPr>
          <w:p w14:paraId="01FC4F96" w14:textId="77777777" w:rsidR="00AE6ABE" w:rsidRPr="00DD1045" w:rsidRDefault="00AE6ABE" w:rsidP="00C85103">
            <w:pPr>
              <w:spacing w:before="60" w:after="60"/>
              <w:rPr>
                <w:b/>
                <w:bCs/>
                <w:sz w:val="16"/>
                <w:szCs w:val="16"/>
              </w:rPr>
            </w:pPr>
          </w:p>
        </w:tc>
        <w:tc>
          <w:tcPr>
            <w:tcW w:w="3510" w:type="dxa"/>
            <w:tcBorders>
              <w:top w:val="nil"/>
              <w:left w:val="nil"/>
              <w:bottom w:val="nil"/>
              <w:right w:val="nil"/>
            </w:tcBorders>
            <w:shd w:val="clear" w:color="auto" w:fill="auto"/>
          </w:tcPr>
          <w:p w14:paraId="4785D4C1" w14:textId="77BB153D" w:rsidR="00AE6ABE" w:rsidRPr="00DD1045" w:rsidRDefault="00AE6ABE" w:rsidP="00C85103">
            <w:pPr>
              <w:pStyle w:val="ARDotpoints"/>
              <w:spacing w:before="60"/>
              <w:ind w:left="459"/>
              <w:rPr>
                <w:sz w:val="16"/>
                <w:szCs w:val="16"/>
              </w:rPr>
            </w:pPr>
            <w:r w:rsidRPr="00DD1045">
              <w:rPr>
                <w:sz w:val="16"/>
                <w:szCs w:val="16"/>
              </w:rPr>
              <w:t>Public availability</w:t>
            </w:r>
          </w:p>
        </w:tc>
        <w:tc>
          <w:tcPr>
            <w:tcW w:w="2284" w:type="dxa"/>
            <w:tcBorders>
              <w:top w:val="nil"/>
              <w:left w:val="nil"/>
              <w:bottom w:val="nil"/>
              <w:right w:val="nil"/>
            </w:tcBorders>
            <w:shd w:val="clear" w:color="auto" w:fill="auto"/>
          </w:tcPr>
          <w:p w14:paraId="1B679CE3" w14:textId="128528FF" w:rsidR="00AE6ABE" w:rsidRPr="00DD1045" w:rsidRDefault="00AE6ABE" w:rsidP="00C85103">
            <w:pPr>
              <w:spacing w:before="60" w:after="60"/>
              <w:rPr>
                <w:sz w:val="16"/>
                <w:szCs w:val="16"/>
              </w:rPr>
            </w:pPr>
            <w:r w:rsidRPr="00DD1045">
              <w:rPr>
                <w:sz w:val="16"/>
                <w:szCs w:val="16"/>
              </w:rPr>
              <w:t>ARRs – section 9.2</w:t>
            </w:r>
          </w:p>
        </w:tc>
        <w:tc>
          <w:tcPr>
            <w:tcW w:w="1672" w:type="dxa"/>
            <w:tcBorders>
              <w:top w:val="nil"/>
              <w:left w:val="nil"/>
              <w:bottom w:val="nil"/>
              <w:right w:val="nil"/>
            </w:tcBorders>
            <w:shd w:val="clear" w:color="auto" w:fill="auto"/>
          </w:tcPr>
          <w:p w14:paraId="60B77AB3" w14:textId="6A4451FA" w:rsidR="00AE6ABE" w:rsidRPr="00DD1045" w:rsidRDefault="285D75C5" w:rsidP="004C1FB9">
            <w:pPr>
              <w:rPr>
                <w:sz w:val="16"/>
                <w:szCs w:val="16"/>
              </w:rPr>
            </w:pPr>
            <w:r w:rsidRPr="474EA618">
              <w:rPr>
                <w:sz w:val="16"/>
                <w:szCs w:val="16"/>
              </w:rPr>
              <w:t>About this report</w:t>
            </w:r>
          </w:p>
        </w:tc>
      </w:tr>
      <w:tr w:rsidR="00AE6ABE" w:rsidRPr="00DD1045" w14:paraId="49CFC7C4" w14:textId="79EB048F" w:rsidTr="00DB5597">
        <w:trPr>
          <w:trHeight w:val="567"/>
        </w:trPr>
        <w:tc>
          <w:tcPr>
            <w:tcW w:w="1560" w:type="dxa"/>
            <w:vMerge/>
            <w:tcBorders>
              <w:top w:val="nil"/>
              <w:left w:val="nil"/>
              <w:bottom w:val="nil"/>
              <w:right w:val="nil"/>
            </w:tcBorders>
            <w:vAlign w:val="center"/>
          </w:tcPr>
          <w:p w14:paraId="3B608FB8" w14:textId="69077E2B" w:rsidR="00AE6ABE" w:rsidRPr="00DD1045" w:rsidRDefault="00AE6ABE" w:rsidP="00C85103">
            <w:pPr>
              <w:spacing w:before="60" w:after="60"/>
              <w:rPr>
                <w:b/>
                <w:bCs/>
                <w:sz w:val="16"/>
                <w:szCs w:val="16"/>
              </w:rPr>
            </w:pPr>
          </w:p>
        </w:tc>
        <w:tc>
          <w:tcPr>
            <w:tcW w:w="3510" w:type="dxa"/>
            <w:tcBorders>
              <w:top w:val="nil"/>
              <w:left w:val="nil"/>
              <w:bottom w:val="nil"/>
              <w:right w:val="nil"/>
            </w:tcBorders>
            <w:shd w:val="clear" w:color="auto" w:fill="auto"/>
          </w:tcPr>
          <w:p w14:paraId="4F3BF26B" w14:textId="445CCF39" w:rsidR="00AE6ABE" w:rsidRPr="00DD1045" w:rsidRDefault="00AE6ABE" w:rsidP="00C85103">
            <w:pPr>
              <w:pStyle w:val="ARDotpoints"/>
              <w:spacing w:before="60"/>
              <w:ind w:left="459"/>
              <w:rPr>
                <w:sz w:val="16"/>
                <w:szCs w:val="16"/>
              </w:rPr>
            </w:pPr>
            <w:r w:rsidRPr="00DD1045">
              <w:rPr>
                <w:sz w:val="16"/>
                <w:szCs w:val="16"/>
              </w:rPr>
              <w:t>Interpreter service statement</w:t>
            </w:r>
          </w:p>
        </w:tc>
        <w:tc>
          <w:tcPr>
            <w:tcW w:w="2284" w:type="dxa"/>
            <w:tcBorders>
              <w:top w:val="nil"/>
              <w:left w:val="nil"/>
              <w:bottom w:val="nil"/>
              <w:right w:val="nil"/>
            </w:tcBorders>
            <w:shd w:val="clear" w:color="auto" w:fill="auto"/>
          </w:tcPr>
          <w:p w14:paraId="6B6AEBDB" w14:textId="5A887563" w:rsidR="00AE6ABE" w:rsidRPr="00DD1045" w:rsidRDefault="00AE6ABE" w:rsidP="00C85103">
            <w:pPr>
              <w:spacing w:before="60" w:after="60"/>
              <w:rPr>
                <w:i/>
                <w:iCs/>
                <w:sz w:val="16"/>
                <w:szCs w:val="16"/>
              </w:rPr>
            </w:pPr>
            <w:r w:rsidRPr="00DD1045">
              <w:rPr>
                <w:i/>
                <w:iCs/>
                <w:sz w:val="16"/>
                <w:szCs w:val="16"/>
              </w:rPr>
              <w:t>Queensland Government Language Services Policy</w:t>
            </w:r>
          </w:p>
          <w:p w14:paraId="54653D5B" w14:textId="5CA97142" w:rsidR="00AE6ABE" w:rsidRPr="00DD1045" w:rsidRDefault="00AE6ABE" w:rsidP="00C85103">
            <w:pPr>
              <w:spacing w:before="60" w:after="60"/>
              <w:rPr>
                <w:sz w:val="16"/>
                <w:szCs w:val="16"/>
              </w:rPr>
            </w:pPr>
            <w:r w:rsidRPr="00DD1045">
              <w:rPr>
                <w:sz w:val="16"/>
                <w:szCs w:val="16"/>
              </w:rPr>
              <w:t>ARRs – section 9.3</w:t>
            </w:r>
          </w:p>
        </w:tc>
        <w:tc>
          <w:tcPr>
            <w:tcW w:w="1672" w:type="dxa"/>
            <w:tcBorders>
              <w:top w:val="nil"/>
              <w:left w:val="nil"/>
              <w:bottom w:val="nil"/>
              <w:right w:val="nil"/>
            </w:tcBorders>
            <w:shd w:val="clear" w:color="auto" w:fill="auto"/>
          </w:tcPr>
          <w:p w14:paraId="481AD27E" w14:textId="0305A47C" w:rsidR="00AE6ABE" w:rsidRPr="00DD1045" w:rsidRDefault="706071C3" w:rsidP="004C1FB9">
            <w:pPr>
              <w:rPr>
                <w:sz w:val="16"/>
                <w:szCs w:val="16"/>
              </w:rPr>
            </w:pPr>
            <w:r w:rsidRPr="474EA618">
              <w:rPr>
                <w:sz w:val="16"/>
                <w:szCs w:val="16"/>
              </w:rPr>
              <w:t>About this report</w:t>
            </w:r>
          </w:p>
        </w:tc>
      </w:tr>
      <w:tr w:rsidR="00AE6ABE" w:rsidRPr="00DD1045" w14:paraId="077FBDC7" w14:textId="4809FF05" w:rsidTr="00DB5597">
        <w:trPr>
          <w:trHeight w:val="567"/>
        </w:trPr>
        <w:tc>
          <w:tcPr>
            <w:tcW w:w="1560" w:type="dxa"/>
            <w:vMerge/>
            <w:tcBorders>
              <w:top w:val="nil"/>
              <w:left w:val="nil"/>
              <w:bottom w:val="nil"/>
              <w:right w:val="nil"/>
            </w:tcBorders>
          </w:tcPr>
          <w:p w14:paraId="432F7C53" w14:textId="77777777" w:rsidR="00AE6ABE" w:rsidRPr="00DD1045" w:rsidRDefault="00AE6ABE" w:rsidP="00C85103">
            <w:pPr>
              <w:spacing w:before="60" w:after="60"/>
              <w:rPr>
                <w:b/>
                <w:bCs/>
                <w:sz w:val="16"/>
                <w:szCs w:val="16"/>
              </w:rPr>
            </w:pPr>
          </w:p>
        </w:tc>
        <w:tc>
          <w:tcPr>
            <w:tcW w:w="3510" w:type="dxa"/>
            <w:tcBorders>
              <w:top w:val="nil"/>
              <w:left w:val="nil"/>
              <w:bottom w:val="nil"/>
              <w:right w:val="nil"/>
            </w:tcBorders>
            <w:shd w:val="clear" w:color="auto" w:fill="auto"/>
          </w:tcPr>
          <w:p w14:paraId="0FC158FE" w14:textId="6EC9CD1C" w:rsidR="00AE6ABE" w:rsidRPr="00DD1045" w:rsidRDefault="00AE6ABE" w:rsidP="00C85103">
            <w:pPr>
              <w:pStyle w:val="ARDotpoints"/>
              <w:spacing w:before="60"/>
              <w:ind w:left="459"/>
              <w:rPr>
                <w:sz w:val="16"/>
                <w:szCs w:val="16"/>
              </w:rPr>
            </w:pPr>
            <w:r w:rsidRPr="00DD1045">
              <w:rPr>
                <w:sz w:val="16"/>
                <w:szCs w:val="16"/>
              </w:rPr>
              <w:t>Copy</w:t>
            </w:r>
            <w:r w:rsidR="009A4E92">
              <w:rPr>
                <w:sz w:val="16"/>
                <w:szCs w:val="16"/>
              </w:rPr>
              <w:t>right</w:t>
            </w:r>
            <w:r w:rsidRPr="00DD1045">
              <w:rPr>
                <w:sz w:val="16"/>
                <w:szCs w:val="16"/>
              </w:rPr>
              <w:t xml:space="preserve"> notice</w:t>
            </w:r>
          </w:p>
        </w:tc>
        <w:tc>
          <w:tcPr>
            <w:tcW w:w="2284" w:type="dxa"/>
            <w:tcBorders>
              <w:top w:val="nil"/>
              <w:left w:val="nil"/>
              <w:bottom w:val="nil"/>
              <w:right w:val="nil"/>
            </w:tcBorders>
            <w:shd w:val="clear" w:color="auto" w:fill="auto"/>
          </w:tcPr>
          <w:p w14:paraId="1231807A" w14:textId="4ECE969E" w:rsidR="00AE6ABE" w:rsidRPr="00DD1045" w:rsidRDefault="00AE6ABE" w:rsidP="00C85103">
            <w:pPr>
              <w:spacing w:before="60" w:after="60"/>
              <w:rPr>
                <w:i/>
                <w:iCs/>
                <w:sz w:val="16"/>
                <w:szCs w:val="16"/>
              </w:rPr>
            </w:pPr>
            <w:r w:rsidRPr="00DD1045">
              <w:rPr>
                <w:i/>
                <w:iCs/>
                <w:sz w:val="16"/>
                <w:szCs w:val="16"/>
              </w:rPr>
              <w:t>Copy</w:t>
            </w:r>
            <w:r w:rsidR="009A4E92">
              <w:rPr>
                <w:i/>
                <w:iCs/>
                <w:sz w:val="16"/>
                <w:szCs w:val="16"/>
              </w:rPr>
              <w:t>right</w:t>
            </w:r>
            <w:r w:rsidRPr="00DD1045">
              <w:rPr>
                <w:i/>
                <w:iCs/>
                <w:sz w:val="16"/>
                <w:szCs w:val="16"/>
              </w:rPr>
              <w:t xml:space="preserve"> Act 1968</w:t>
            </w:r>
          </w:p>
          <w:p w14:paraId="6701371F" w14:textId="227F8C2E" w:rsidR="00AE6ABE" w:rsidRPr="00DD1045" w:rsidRDefault="00AE6ABE" w:rsidP="00C85103">
            <w:pPr>
              <w:spacing w:before="60" w:after="60"/>
              <w:rPr>
                <w:sz w:val="16"/>
                <w:szCs w:val="16"/>
              </w:rPr>
            </w:pPr>
            <w:r w:rsidRPr="00DD1045">
              <w:rPr>
                <w:sz w:val="16"/>
                <w:szCs w:val="16"/>
              </w:rPr>
              <w:t>ARRs – section 9.4</w:t>
            </w:r>
          </w:p>
        </w:tc>
        <w:tc>
          <w:tcPr>
            <w:tcW w:w="1672" w:type="dxa"/>
            <w:tcBorders>
              <w:top w:val="nil"/>
              <w:left w:val="nil"/>
              <w:bottom w:val="nil"/>
              <w:right w:val="nil"/>
            </w:tcBorders>
            <w:shd w:val="clear" w:color="auto" w:fill="auto"/>
          </w:tcPr>
          <w:p w14:paraId="42893516" w14:textId="76987A59" w:rsidR="00AE6ABE" w:rsidRPr="00DD1045" w:rsidRDefault="7950CDFF" w:rsidP="004C1FB9">
            <w:pPr>
              <w:rPr>
                <w:sz w:val="16"/>
                <w:szCs w:val="16"/>
              </w:rPr>
            </w:pPr>
            <w:r w:rsidRPr="474EA618">
              <w:rPr>
                <w:sz w:val="16"/>
                <w:szCs w:val="16"/>
              </w:rPr>
              <w:t>About this report - License</w:t>
            </w:r>
          </w:p>
        </w:tc>
      </w:tr>
      <w:tr w:rsidR="00AE6ABE" w:rsidRPr="00DD1045" w14:paraId="5EA65BD3" w14:textId="24C677C4" w:rsidTr="00DB5597">
        <w:trPr>
          <w:trHeight w:val="567"/>
        </w:trPr>
        <w:tc>
          <w:tcPr>
            <w:tcW w:w="1560" w:type="dxa"/>
            <w:vMerge/>
            <w:tcBorders>
              <w:top w:val="nil"/>
              <w:left w:val="nil"/>
              <w:bottom w:val="nil"/>
              <w:right w:val="nil"/>
            </w:tcBorders>
          </w:tcPr>
          <w:p w14:paraId="4AA022EE" w14:textId="77777777" w:rsidR="00AE6ABE" w:rsidRPr="00DD1045" w:rsidRDefault="00AE6ABE" w:rsidP="00C85103">
            <w:pPr>
              <w:spacing w:before="60" w:after="60"/>
              <w:rPr>
                <w:b/>
                <w:bCs/>
                <w:sz w:val="16"/>
                <w:szCs w:val="16"/>
              </w:rPr>
            </w:pPr>
          </w:p>
        </w:tc>
        <w:tc>
          <w:tcPr>
            <w:tcW w:w="3510" w:type="dxa"/>
            <w:tcBorders>
              <w:top w:val="nil"/>
              <w:left w:val="nil"/>
              <w:bottom w:val="nil"/>
              <w:right w:val="nil"/>
            </w:tcBorders>
            <w:shd w:val="clear" w:color="auto" w:fill="auto"/>
          </w:tcPr>
          <w:p w14:paraId="7C68E1AB" w14:textId="45A44AAE" w:rsidR="00AE6ABE" w:rsidRPr="00DD1045" w:rsidRDefault="00AE6ABE" w:rsidP="00C85103">
            <w:pPr>
              <w:pStyle w:val="ARDotpoints"/>
              <w:spacing w:before="60"/>
              <w:ind w:left="459"/>
              <w:rPr>
                <w:sz w:val="16"/>
                <w:szCs w:val="16"/>
              </w:rPr>
            </w:pPr>
            <w:r w:rsidRPr="00DD1045">
              <w:rPr>
                <w:sz w:val="16"/>
                <w:szCs w:val="16"/>
              </w:rPr>
              <w:t>Information licensing</w:t>
            </w:r>
          </w:p>
        </w:tc>
        <w:tc>
          <w:tcPr>
            <w:tcW w:w="2284" w:type="dxa"/>
            <w:tcBorders>
              <w:top w:val="nil"/>
              <w:left w:val="nil"/>
              <w:bottom w:val="nil"/>
              <w:right w:val="nil"/>
            </w:tcBorders>
            <w:shd w:val="clear" w:color="auto" w:fill="auto"/>
          </w:tcPr>
          <w:p w14:paraId="63016F56" w14:textId="7BFD68FB" w:rsidR="00AE6ABE" w:rsidRPr="00DD1045" w:rsidRDefault="00AE6ABE" w:rsidP="00C85103">
            <w:pPr>
              <w:spacing w:before="60" w:after="60"/>
              <w:rPr>
                <w:i/>
                <w:iCs/>
                <w:sz w:val="16"/>
                <w:szCs w:val="16"/>
              </w:rPr>
            </w:pPr>
            <w:r w:rsidRPr="00DD1045">
              <w:rPr>
                <w:i/>
                <w:iCs/>
                <w:sz w:val="16"/>
                <w:szCs w:val="16"/>
              </w:rPr>
              <w:t>QGEA – Information Licensing</w:t>
            </w:r>
          </w:p>
          <w:p w14:paraId="5A30ADF5" w14:textId="4E81C222" w:rsidR="00AE6ABE" w:rsidRPr="00DD1045" w:rsidRDefault="00AE6ABE" w:rsidP="00C85103">
            <w:pPr>
              <w:spacing w:before="60" w:after="60"/>
              <w:rPr>
                <w:sz w:val="16"/>
                <w:szCs w:val="16"/>
              </w:rPr>
            </w:pPr>
            <w:r w:rsidRPr="00DD1045">
              <w:rPr>
                <w:sz w:val="16"/>
                <w:szCs w:val="16"/>
              </w:rPr>
              <w:t xml:space="preserve">ARRs – section 9.5 </w:t>
            </w:r>
          </w:p>
        </w:tc>
        <w:tc>
          <w:tcPr>
            <w:tcW w:w="1672" w:type="dxa"/>
            <w:tcBorders>
              <w:top w:val="nil"/>
              <w:left w:val="nil"/>
              <w:bottom w:val="nil"/>
              <w:right w:val="nil"/>
            </w:tcBorders>
            <w:shd w:val="clear" w:color="auto" w:fill="auto"/>
          </w:tcPr>
          <w:p w14:paraId="6CED6DD2" w14:textId="439FAD76" w:rsidR="00AE6ABE" w:rsidRPr="00DD1045" w:rsidRDefault="652CDCFE" w:rsidP="004C1FB9">
            <w:pPr>
              <w:rPr>
                <w:sz w:val="16"/>
                <w:szCs w:val="16"/>
              </w:rPr>
            </w:pPr>
            <w:r w:rsidRPr="474EA618">
              <w:rPr>
                <w:sz w:val="16"/>
                <w:szCs w:val="16"/>
              </w:rPr>
              <w:t>About this report - License</w:t>
            </w:r>
          </w:p>
        </w:tc>
      </w:tr>
      <w:tr w:rsidR="009551BA" w:rsidRPr="00DD1045" w14:paraId="1BC9B41A" w14:textId="6B9B0666" w:rsidTr="00DB5597">
        <w:trPr>
          <w:trHeight w:val="567"/>
        </w:trPr>
        <w:tc>
          <w:tcPr>
            <w:tcW w:w="1560" w:type="dxa"/>
            <w:tcBorders>
              <w:top w:val="nil"/>
              <w:left w:val="nil"/>
              <w:bottom w:val="nil"/>
              <w:right w:val="nil"/>
            </w:tcBorders>
            <w:shd w:val="clear" w:color="auto" w:fill="auto"/>
            <w:vAlign w:val="center"/>
          </w:tcPr>
          <w:p w14:paraId="21379C90" w14:textId="33535701" w:rsidR="009551BA" w:rsidRPr="00DD1045" w:rsidRDefault="009551BA" w:rsidP="00C85103">
            <w:pPr>
              <w:spacing w:before="60" w:after="60"/>
              <w:rPr>
                <w:b/>
                <w:bCs/>
                <w:sz w:val="16"/>
                <w:szCs w:val="16"/>
              </w:rPr>
            </w:pPr>
            <w:r w:rsidRPr="00DD1045">
              <w:rPr>
                <w:b/>
                <w:bCs/>
                <w:sz w:val="16"/>
                <w:szCs w:val="16"/>
              </w:rPr>
              <w:t>General information</w:t>
            </w:r>
          </w:p>
        </w:tc>
        <w:tc>
          <w:tcPr>
            <w:tcW w:w="3510" w:type="dxa"/>
            <w:tcBorders>
              <w:top w:val="nil"/>
              <w:left w:val="nil"/>
              <w:bottom w:val="nil"/>
              <w:right w:val="nil"/>
            </w:tcBorders>
            <w:shd w:val="clear" w:color="auto" w:fill="auto"/>
            <w:vAlign w:val="center"/>
          </w:tcPr>
          <w:p w14:paraId="2F1D8D7D" w14:textId="7B8112DA" w:rsidR="009551BA" w:rsidRPr="00DD1045" w:rsidRDefault="00C85103" w:rsidP="00C85103">
            <w:pPr>
              <w:pStyle w:val="ARDotpoints"/>
              <w:spacing w:before="60"/>
              <w:ind w:left="459"/>
              <w:rPr>
                <w:sz w:val="16"/>
                <w:szCs w:val="16"/>
              </w:rPr>
            </w:pPr>
            <w:r w:rsidRPr="00DD1045">
              <w:rPr>
                <w:sz w:val="16"/>
                <w:szCs w:val="16"/>
              </w:rPr>
              <w:t>Introductory information</w:t>
            </w:r>
          </w:p>
        </w:tc>
        <w:tc>
          <w:tcPr>
            <w:tcW w:w="2284" w:type="dxa"/>
            <w:tcBorders>
              <w:top w:val="nil"/>
              <w:left w:val="nil"/>
              <w:bottom w:val="nil"/>
              <w:right w:val="nil"/>
            </w:tcBorders>
            <w:shd w:val="clear" w:color="auto" w:fill="auto"/>
          </w:tcPr>
          <w:p w14:paraId="2CF7B8B1" w14:textId="4AF4B3E9" w:rsidR="009551BA" w:rsidRPr="00DD1045" w:rsidRDefault="00C85103" w:rsidP="00C85103">
            <w:pPr>
              <w:spacing w:before="60" w:after="60"/>
              <w:rPr>
                <w:sz w:val="16"/>
                <w:szCs w:val="16"/>
              </w:rPr>
            </w:pPr>
            <w:r w:rsidRPr="00DD1045">
              <w:rPr>
                <w:sz w:val="16"/>
                <w:szCs w:val="16"/>
              </w:rPr>
              <w:t>ARRs – section 10</w:t>
            </w:r>
          </w:p>
        </w:tc>
        <w:tc>
          <w:tcPr>
            <w:tcW w:w="1672" w:type="dxa"/>
            <w:tcBorders>
              <w:top w:val="nil"/>
              <w:left w:val="nil"/>
              <w:bottom w:val="nil"/>
              <w:right w:val="nil"/>
            </w:tcBorders>
            <w:shd w:val="clear" w:color="auto" w:fill="auto"/>
          </w:tcPr>
          <w:p w14:paraId="2C6F26B9" w14:textId="57EE6BCC" w:rsidR="305C163B" w:rsidRDefault="305C163B" w:rsidP="6477987A">
            <w:pPr>
              <w:rPr>
                <w:sz w:val="16"/>
                <w:szCs w:val="16"/>
              </w:rPr>
            </w:pPr>
            <w:r w:rsidRPr="6477987A">
              <w:rPr>
                <w:sz w:val="16"/>
                <w:szCs w:val="16"/>
              </w:rPr>
              <w:t>About WorkCover Queensland</w:t>
            </w:r>
          </w:p>
          <w:p w14:paraId="355173A9" w14:textId="68CEF288" w:rsidR="009551BA" w:rsidRPr="00DD1045" w:rsidRDefault="69CD50B5" w:rsidP="004C1FB9">
            <w:pPr>
              <w:rPr>
                <w:sz w:val="16"/>
                <w:szCs w:val="16"/>
              </w:rPr>
            </w:pPr>
            <w:r w:rsidRPr="6477987A">
              <w:rPr>
                <w:sz w:val="16"/>
                <w:szCs w:val="16"/>
              </w:rPr>
              <w:t>Chair and CEO report</w:t>
            </w:r>
          </w:p>
        </w:tc>
      </w:tr>
      <w:tr w:rsidR="00AE6ABE" w:rsidRPr="00DD1045" w14:paraId="09F6EC17" w14:textId="10CEF6EF" w:rsidTr="00DB5597">
        <w:trPr>
          <w:trHeight w:val="567"/>
        </w:trPr>
        <w:tc>
          <w:tcPr>
            <w:tcW w:w="1560" w:type="dxa"/>
            <w:vMerge w:val="restart"/>
            <w:tcBorders>
              <w:top w:val="nil"/>
              <w:left w:val="nil"/>
              <w:bottom w:val="nil"/>
              <w:right w:val="nil"/>
            </w:tcBorders>
            <w:shd w:val="clear" w:color="auto" w:fill="auto"/>
          </w:tcPr>
          <w:p w14:paraId="240F0C0F" w14:textId="75EE578A" w:rsidR="00AE6ABE" w:rsidRPr="00DD1045" w:rsidRDefault="00AE6ABE" w:rsidP="00C85103">
            <w:pPr>
              <w:spacing w:before="60" w:after="60"/>
              <w:rPr>
                <w:b/>
                <w:bCs/>
                <w:sz w:val="16"/>
                <w:szCs w:val="16"/>
              </w:rPr>
            </w:pPr>
            <w:r w:rsidRPr="00DD1045">
              <w:rPr>
                <w:b/>
                <w:bCs/>
                <w:sz w:val="16"/>
                <w:szCs w:val="16"/>
              </w:rPr>
              <w:t>Non-financial performance</w:t>
            </w:r>
          </w:p>
        </w:tc>
        <w:tc>
          <w:tcPr>
            <w:tcW w:w="3510" w:type="dxa"/>
            <w:tcBorders>
              <w:top w:val="nil"/>
              <w:left w:val="nil"/>
              <w:bottom w:val="nil"/>
              <w:right w:val="nil"/>
            </w:tcBorders>
            <w:shd w:val="clear" w:color="auto" w:fill="auto"/>
          </w:tcPr>
          <w:p w14:paraId="704E6148" w14:textId="66751785" w:rsidR="00AE6ABE" w:rsidRPr="00DD1045" w:rsidRDefault="00AE6ABE" w:rsidP="00C85103">
            <w:pPr>
              <w:pStyle w:val="ARDotpoints"/>
              <w:spacing w:before="60"/>
              <w:ind w:left="459"/>
              <w:rPr>
                <w:sz w:val="16"/>
                <w:szCs w:val="16"/>
              </w:rPr>
            </w:pPr>
            <w:r w:rsidRPr="00DD1045">
              <w:rPr>
                <w:sz w:val="16"/>
                <w:szCs w:val="16"/>
              </w:rPr>
              <w:t xml:space="preserve">Government objectives for the community and whole-of-Government plans/specific initiatives </w:t>
            </w:r>
          </w:p>
        </w:tc>
        <w:tc>
          <w:tcPr>
            <w:tcW w:w="2284" w:type="dxa"/>
            <w:tcBorders>
              <w:top w:val="nil"/>
              <w:left w:val="nil"/>
              <w:bottom w:val="nil"/>
              <w:right w:val="nil"/>
            </w:tcBorders>
            <w:shd w:val="clear" w:color="auto" w:fill="auto"/>
          </w:tcPr>
          <w:p w14:paraId="4642F96D" w14:textId="1978BFE0" w:rsidR="00AE6ABE" w:rsidRPr="00DD1045" w:rsidRDefault="00AE6ABE" w:rsidP="00C85103">
            <w:pPr>
              <w:spacing w:before="60" w:after="60"/>
              <w:rPr>
                <w:sz w:val="16"/>
                <w:szCs w:val="16"/>
              </w:rPr>
            </w:pPr>
            <w:r w:rsidRPr="00DD1045">
              <w:rPr>
                <w:sz w:val="16"/>
                <w:szCs w:val="16"/>
              </w:rPr>
              <w:t>ARRs – section 11.1</w:t>
            </w:r>
          </w:p>
        </w:tc>
        <w:tc>
          <w:tcPr>
            <w:tcW w:w="1672" w:type="dxa"/>
            <w:tcBorders>
              <w:top w:val="nil"/>
              <w:left w:val="nil"/>
              <w:bottom w:val="nil"/>
              <w:right w:val="nil"/>
            </w:tcBorders>
            <w:shd w:val="clear" w:color="auto" w:fill="auto"/>
          </w:tcPr>
          <w:p w14:paraId="6EE3EECF" w14:textId="2B7958E2" w:rsidR="00AE6ABE" w:rsidRPr="00DD1045" w:rsidRDefault="5C141A61" w:rsidP="004C1FB9">
            <w:pPr>
              <w:rPr>
                <w:sz w:val="16"/>
                <w:szCs w:val="16"/>
              </w:rPr>
            </w:pPr>
            <w:r w:rsidRPr="0878D81F">
              <w:rPr>
                <w:sz w:val="16"/>
                <w:szCs w:val="16"/>
              </w:rPr>
              <w:t>Chair and CEO report</w:t>
            </w:r>
          </w:p>
        </w:tc>
      </w:tr>
      <w:tr w:rsidR="00AE6ABE" w:rsidRPr="00DD1045" w14:paraId="2458A07C" w14:textId="394D800C" w:rsidTr="00DB5597">
        <w:trPr>
          <w:trHeight w:val="567"/>
        </w:trPr>
        <w:tc>
          <w:tcPr>
            <w:tcW w:w="1560" w:type="dxa"/>
            <w:vMerge/>
            <w:tcBorders>
              <w:top w:val="nil"/>
              <w:left w:val="nil"/>
              <w:bottom w:val="nil"/>
              <w:right w:val="nil"/>
            </w:tcBorders>
          </w:tcPr>
          <w:p w14:paraId="60CBD53E" w14:textId="77777777" w:rsidR="00AE6ABE" w:rsidRPr="00DD1045" w:rsidRDefault="00AE6ABE" w:rsidP="00C85103">
            <w:pPr>
              <w:spacing w:before="60" w:after="60"/>
              <w:rPr>
                <w:b/>
                <w:bCs/>
                <w:sz w:val="16"/>
                <w:szCs w:val="16"/>
              </w:rPr>
            </w:pPr>
          </w:p>
        </w:tc>
        <w:tc>
          <w:tcPr>
            <w:tcW w:w="3510" w:type="dxa"/>
            <w:tcBorders>
              <w:top w:val="nil"/>
              <w:left w:val="nil"/>
              <w:bottom w:val="nil"/>
              <w:right w:val="nil"/>
            </w:tcBorders>
          </w:tcPr>
          <w:p w14:paraId="06C08FC8" w14:textId="63043095" w:rsidR="00AE6ABE" w:rsidRPr="00DD1045" w:rsidRDefault="00AE6ABE" w:rsidP="00C85103">
            <w:pPr>
              <w:pStyle w:val="ARDotpoints"/>
              <w:spacing w:before="60"/>
              <w:ind w:left="459"/>
              <w:rPr>
                <w:sz w:val="16"/>
                <w:szCs w:val="16"/>
              </w:rPr>
            </w:pPr>
            <w:r w:rsidRPr="00DD1045">
              <w:rPr>
                <w:sz w:val="16"/>
                <w:szCs w:val="16"/>
              </w:rPr>
              <w:t>Agency objectives and performance indicators</w:t>
            </w:r>
          </w:p>
        </w:tc>
        <w:tc>
          <w:tcPr>
            <w:tcW w:w="2284" w:type="dxa"/>
            <w:tcBorders>
              <w:top w:val="nil"/>
              <w:left w:val="nil"/>
              <w:bottom w:val="nil"/>
              <w:right w:val="nil"/>
            </w:tcBorders>
          </w:tcPr>
          <w:p w14:paraId="2FA01164" w14:textId="4BBAE9D5" w:rsidR="00AE6ABE" w:rsidRPr="00DD1045" w:rsidRDefault="00AE6ABE" w:rsidP="00C85103">
            <w:pPr>
              <w:spacing w:before="60" w:after="60"/>
              <w:rPr>
                <w:sz w:val="16"/>
                <w:szCs w:val="16"/>
              </w:rPr>
            </w:pPr>
            <w:r w:rsidRPr="00DD1045">
              <w:rPr>
                <w:sz w:val="16"/>
                <w:szCs w:val="16"/>
              </w:rPr>
              <w:t>ARRs – section 11.2</w:t>
            </w:r>
          </w:p>
        </w:tc>
        <w:tc>
          <w:tcPr>
            <w:tcW w:w="1672" w:type="dxa"/>
            <w:tcBorders>
              <w:top w:val="nil"/>
              <w:left w:val="nil"/>
              <w:bottom w:val="nil"/>
              <w:right w:val="nil"/>
            </w:tcBorders>
          </w:tcPr>
          <w:p w14:paraId="6D362825" w14:textId="6CFF4D5A" w:rsidR="00AE6ABE" w:rsidRPr="00DD1045" w:rsidRDefault="03372D30" w:rsidP="004C1FB9">
            <w:pPr>
              <w:rPr>
                <w:sz w:val="16"/>
                <w:szCs w:val="16"/>
              </w:rPr>
            </w:pPr>
            <w:r w:rsidRPr="1ED9A170">
              <w:rPr>
                <w:sz w:val="16"/>
                <w:szCs w:val="16"/>
              </w:rPr>
              <w:t>Our financial and non-financial performance indicators</w:t>
            </w:r>
          </w:p>
        </w:tc>
      </w:tr>
      <w:tr w:rsidR="00AE6ABE" w:rsidRPr="00DD1045" w14:paraId="30ACBFF8" w14:textId="77777777" w:rsidTr="00DB5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560" w:type="dxa"/>
            <w:vMerge/>
            <w:tcBorders>
              <w:top w:val="nil"/>
              <w:left w:val="nil"/>
              <w:bottom w:val="nil"/>
              <w:right w:val="nil"/>
            </w:tcBorders>
          </w:tcPr>
          <w:p w14:paraId="1456DFCD" w14:textId="3F7E9386" w:rsidR="00AE6ABE" w:rsidRPr="00DD1045" w:rsidRDefault="00AE6ABE" w:rsidP="00C85103">
            <w:pPr>
              <w:spacing w:before="60" w:after="60"/>
              <w:rPr>
                <w:b/>
                <w:bCs/>
                <w:sz w:val="16"/>
                <w:szCs w:val="16"/>
              </w:rPr>
            </w:pPr>
          </w:p>
        </w:tc>
        <w:tc>
          <w:tcPr>
            <w:tcW w:w="3510" w:type="dxa"/>
            <w:tcBorders>
              <w:top w:val="nil"/>
              <w:left w:val="nil"/>
              <w:bottom w:val="nil"/>
              <w:right w:val="nil"/>
            </w:tcBorders>
          </w:tcPr>
          <w:p w14:paraId="63D46F8C" w14:textId="7E8813FE" w:rsidR="00AE6ABE" w:rsidRPr="00DD1045" w:rsidRDefault="00AE6ABE" w:rsidP="00C85103">
            <w:pPr>
              <w:pStyle w:val="ARDotpoints"/>
              <w:spacing w:before="60"/>
              <w:ind w:left="459"/>
              <w:rPr>
                <w:sz w:val="16"/>
                <w:szCs w:val="16"/>
              </w:rPr>
            </w:pPr>
            <w:r w:rsidRPr="00DD1045">
              <w:rPr>
                <w:sz w:val="16"/>
                <w:szCs w:val="16"/>
              </w:rPr>
              <w:t>Agency service areas and service standards</w:t>
            </w:r>
          </w:p>
        </w:tc>
        <w:tc>
          <w:tcPr>
            <w:tcW w:w="2284" w:type="dxa"/>
            <w:tcBorders>
              <w:top w:val="nil"/>
              <w:left w:val="nil"/>
              <w:bottom w:val="nil"/>
              <w:right w:val="nil"/>
            </w:tcBorders>
          </w:tcPr>
          <w:p w14:paraId="67C830EA" w14:textId="3875729D" w:rsidR="00AE6ABE" w:rsidRPr="00DD1045" w:rsidRDefault="00AE6ABE" w:rsidP="00C85103">
            <w:pPr>
              <w:spacing w:before="60" w:after="60"/>
              <w:rPr>
                <w:sz w:val="16"/>
                <w:szCs w:val="16"/>
              </w:rPr>
            </w:pPr>
            <w:r w:rsidRPr="00DD1045">
              <w:rPr>
                <w:sz w:val="16"/>
                <w:szCs w:val="16"/>
              </w:rPr>
              <w:t>ARRs – section 11.3</w:t>
            </w:r>
          </w:p>
        </w:tc>
        <w:tc>
          <w:tcPr>
            <w:tcW w:w="1672" w:type="dxa"/>
            <w:tcBorders>
              <w:top w:val="nil"/>
              <w:left w:val="nil"/>
              <w:bottom w:val="nil"/>
              <w:right w:val="nil"/>
            </w:tcBorders>
          </w:tcPr>
          <w:p w14:paraId="06095FCC" w14:textId="2C2BD0D0" w:rsidR="00AE6ABE" w:rsidRPr="00DD1045" w:rsidRDefault="5DD30F28" w:rsidP="004C1FB9">
            <w:pPr>
              <w:rPr>
                <w:sz w:val="16"/>
                <w:szCs w:val="16"/>
              </w:rPr>
            </w:pPr>
            <w:r w:rsidRPr="6477987A">
              <w:rPr>
                <w:sz w:val="16"/>
                <w:szCs w:val="16"/>
              </w:rPr>
              <w:t>Highlights</w:t>
            </w:r>
          </w:p>
        </w:tc>
      </w:tr>
      <w:tr w:rsidR="00C85103" w:rsidRPr="00DD1045" w14:paraId="1330956A" w14:textId="77777777" w:rsidTr="0030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560" w:type="dxa"/>
            <w:tcBorders>
              <w:top w:val="nil"/>
              <w:left w:val="nil"/>
              <w:bottom w:val="nil"/>
              <w:right w:val="nil"/>
            </w:tcBorders>
          </w:tcPr>
          <w:p w14:paraId="6E4D6309" w14:textId="37010F9C" w:rsidR="009551BA" w:rsidRPr="00DD1045" w:rsidRDefault="00C85103" w:rsidP="00C85103">
            <w:pPr>
              <w:spacing w:before="60" w:after="60"/>
              <w:rPr>
                <w:b/>
                <w:bCs/>
                <w:sz w:val="16"/>
                <w:szCs w:val="16"/>
              </w:rPr>
            </w:pPr>
            <w:r w:rsidRPr="00DD1045">
              <w:rPr>
                <w:b/>
                <w:bCs/>
                <w:sz w:val="16"/>
                <w:szCs w:val="16"/>
              </w:rPr>
              <w:t>Financial performance</w:t>
            </w:r>
          </w:p>
        </w:tc>
        <w:tc>
          <w:tcPr>
            <w:tcW w:w="3510" w:type="dxa"/>
            <w:tcBorders>
              <w:top w:val="nil"/>
              <w:left w:val="nil"/>
              <w:bottom w:val="nil"/>
              <w:right w:val="nil"/>
            </w:tcBorders>
          </w:tcPr>
          <w:p w14:paraId="29DD3739" w14:textId="7B4C7AB2" w:rsidR="009551BA" w:rsidRPr="00DD1045" w:rsidRDefault="00C85103" w:rsidP="00C85103">
            <w:pPr>
              <w:pStyle w:val="ARDotpoints"/>
              <w:spacing w:before="60"/>
              <w:ind w:left="459"/>
              <w:rPr>
                <w:sz w:val="16"/>
                <w:szCs w:val="16"/>
              </w:rPr>
            </w:pPr>
            <w:r w:rsidRPr="00DD1045">
              <w:rPr>
                <w:sz w:val="16"/>
                <w:szCs w:val="16"/>
              </w:rPr>
              <w:t>Summary of financial performance</w:t>
            </w:r>
          </w:p>
        </w:tc>
        <w:tc>
          <w:tcPr>
            <w:tcW w:w="2284" w:type="dxa"/>
            <w:tcBorders>
              <w:top w:val="nil"/>
              <w:left w:val="nil"/>
              <w:bottom w:val="nil"/>
              <w:right w:val="nil"/>
            </w:tcBorders>
          </w:tcPr>
          <w:p w14:paraId="269C4F5D" w14:textId="664508D3" w:rsidR="009551BA" w:rsidRPr="00DD1045" w:rsidRDefault="00C85103" w:rsidP="00C85103">
            <w:pPr>
              <w:spacing w:before="60" w:after="60"/>
              <w:rPr>
                <w:sz w:val="16"/>
                <w:szCs w:val="16"/>
              </w:rPr>
            </w:pPr>
            <w:r w:rsidRPr="00DD1045">
              <w:rPr>
                <w:sz w:val="16"/>
                <w:szCs w:val="16"/>
              </w:rPr>
              <w:t>ARRs – section 12.1</w:t>
            </w:r>
          </w:p>
        </w:tc>
        <w:tc>
          <w:tcPr>
            <w:tcW w:w="1672" w:type="dxa"/>
            <w:tcBorders>
              <w:top w:val="nil"/>
              <w:left w:val="nil"/>
              <w:bottom w:val="nil"/>
              <w:right w:val="nil"/>
            </w:tcBorders>
          </w:tcPr>
          <w:p w14:paraId="57E6C73A" w14:textId="40AAB42A" w:rsidR="009551BA" w:rsidRPr="00DD1045" w:rsidRDefault="6888ADAD" w:rsidP="0FE7A608">
            <w:pPr>
              <w:rPr>
                <w:sz w:val="16"/>
                <w:szCs w:val="16"/>
              </w:rPr>
            </w:pPr>
            <w:r w:rsidRPr="0FE7A608">
              <w:rPr>
                <w:sz w:val="16"/>
                <w:szCs w:val="16"/>
              </w:rPr>
              <w:t>Financial performance</w:t>
            </w:r>
          </w:p>
          <w:p w14:paraId="559D6B77" w14:textId="7DA4D746" w:rsidR="009551BA" w:rsidRPr="00DD1045" w:rsidRDefault="6888ADAD" w:rsidP="004C1FB9">
            <w:pPr>
              <w:rPr>
                <w:sz w:val="16"/>
                <w:szCs w:val="16"/>
              </w:rPr>
            </w:pPr>
            <w:r w:rsidRPr="0FE7A608">
              <w:rPr>
                <w:sz w:val="16"/>
                <w:szCs w:val="16"/>
              </w:rPr>
              <w:t xml:space="preserve">Consolidated </w:t>
            </w:r>
            <w:r w:rsidR="5D21EC55" w:rsidRPr="0FE7A608">
              <w:rPr>
                <w:sz w:val="16"/>
                <w:szCs w:val="16"/>
              </w:rPr>
              <w:t>Financial Statements</w:t>
            </w:r>
          </w:p>
        </w:tc>
      </w:tr>
      <w:tr w:rsidR="00AE6ABE" w:rsidRPr="00DD1045" w14:paraId="23065081" w14:textId="77777777" w:rsidTr="00DB5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560" w:type="dxa"/>
            <w:vMerge w:val="restart"/>
            <w:tcBorders>
              <w:top w:val="nil"/>
              <w:left w:val="nil"/>
              <w:bottom w:val="nil"/>
              <w:right w:val="nil"/>
            </w:tcBorders>
          </w:tcPr>
          <w:p w14:paraId="49E0CD89" w14:textId="063684FC" w:rsidR="00AE6ABE" w:rsidRPr="00DD1045" w:rsidRDefault="00AE6ABE" w:rsidP="00C85103">
            <w:pPr>
              <w:spacing w:before="60" w:after="60"/>
              <w:rPr>
                <w:b/>
                <w:bCs/>
                <w:sz w:val="16"/>
                <w:szCs w:val="16"/>
              </w:rPr>
            </w:pPr>
            <w:r w:rsidRPr="00DD1045">
              <w:rPr>
                <w:b/>
                <w:bCs/>
                <w:sz w:val="16"/>
                <w:szCs w:val="16"/>
              </w:rPr>
              <w:t>Governance – management and structure</w:t>
            </w:r>
          </w:p>
        </w:tc>
        <w:tc>
          <w:tcPr>
            <w:tcW w:w="3510" w:type="dxa"/>
            <w:tcBorders>
              <w:top w:val="nil"/>
              <w:left w:val="nil"/>
              <w:bottom w:val="nil"/>
              <w:right w:val="nil"/>
            </w:tcBorders>
          </w:tcPr>
          <w:p w14:paraId="5039EC4A" w14:textId="066C340D" w:rsidR="00AE6ABE" w:rsidRPr="00DD1045" w:rsidRDefault="00AE6ABE" w:rsidP="00C85103">
            <w:pPr>
              <w:pStyle w:val="ARDotpoints"/>
              <w:spacing w:before="60"/>
              <w:ind w:left="459"/>
              <w:rPr>
                <w:sz w:val="16"/>
                <w:szCs w:val="16"/>
              </w:rPr>
            </w:pPr>
            <w:r w:rsidRPr="00DD1045">
              <w:rPr>
                <w:sz w:val="16"/>
                <w:szCs w:val="16"/>
              </w:rPr>
              <w:t>Organisational structure</w:t>
            </w:r>
          </w:p>
        </w:tc>
        <w:tc>
          <w:tcPr>
            <w:tcW w:w="2284" w:type="dxa"/>
            <w:tcBorders>
              <w:top w:val="nil"/>
              <w:left w:val="nil"/>
              <w:bottom w:val="nil"/>
              <w:right w:val="nil"/>
            </w:tcBorders>
          </w:tcPr>
          <w:p w14:paraId="592AC5D2" w14:textId="5F536612" w:rsidR="00AE6ABE" w:rsidRPr="00DD1045" w:rsidRDefault="00AE6ABE" w:rsidP="00C85103">
            <w:pPr>
              <w:spacing w:before="60" w:after="60"/>
              <w:rPr>
                <w:sz w:val="16"/>
                <w:szCs w:val="16"/>
              </w:rPr>
            </w:pPr>
            <w:r w:rsidRPr="00DD1045">
              <w:rPr>
                <w:sz w:val="16"/>
                <w:szCs w:val="16"/>
              </w:rPr>
              <w:t>ARRs – section 13.1</w:t>
            </w:r>
          </w:p>
        </w:tc>
        <w:tc>
          <w:tcPr>
            <w:tcW w:w="1672" w:type="dxa"/>
            <w:tcBorders>
              <w:top w:val="nil"/>
              <w:left w:val="nil"/>
              <w:bottom w:val="nil"/>
              <w:right w:val="nil"/>
            </w:tcBorders>
          </w:tcPr>
          <w:p w14:paraId="58F3FB8E" w14:textId="110BC7B5" w:rsidR="00AE6ABE" w:rsidRPr="00DD1045" w:rsidRDefault="36B6F57C" w:rsidP="004C1FB9">
            <w:pPr>
              <w:rPr>
                <w:sz w:val="16"/>
                <w:szCs w:val="16"/>
              </w:rPr>
            </w:pPr>
            <w:r w:rsidRPr="2F649129">
              <w:rPr>
                <w:sz w:val="16"/>
                <w:szCs w:val="16"/>
              </w:rPr>
              <w:t>Organisational structure</w:t>
            </w:r>
          </w:p>
        </w:tc>
      </w:tr>
      <w:tr w:rsidR="00AE6ABE" w:rsidRPr="00DD1045" w14:paraId="0CC0B8D3" w14:textId="77777777" w:rsidTr="00DB5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560" w:type="dxa"/>
            <w:vMerge/>
            <w:tcBorders>
              <w:top w:val="nil"/>
              <w:left w:val="nil"/>
              <w:bottom w:val="nil"/>
              <w:right w:val="nil"/>
            </w:tcBorders>
          </w:tcPr>
          <w:p w14:paraId="444B1724" w14:textId="22050E44" w:rsidR="00AE6ABE" w:rsidRPr="00DD1045" w:rsidRDefault="00AE6ABE" w:rsidP="00C85103">
            <w:pPr>
              <w:spacing w:before="60" w:after="60"/>
              <w:rPr>
                <w:b/>
                <w:bCs/>
                <w:sz w:val="16"/>
                <w:szCs w:val="16"/>
              </w:rPr>
            </w:pPr>
          </w:p>
        </w:tc>
        <w:tc>
          <w:tcPr>
            <w:tcW w:w="3510" w:type="dxa"/>
            <w:tcBorders>
              <w:top w:val="nil"/>
              <w:left w:val="nil"/>
              <w:bottom w:val="nil"/>
              <w:right w:val="nil"/>
            </w:tcBorders>
          </w:tcPr>
          <w:p w14:paraId="0FC3955A" w14:textId="44A10F8F" w:rsidR="00AE6ABE" w:rsidRPr="00DD1045" w:rsidRDefault="00AE6ABE" w:rsidP="00C85103">
            <w:pPr>
              <w:pStyle w:val="ARDotpoints"/>
              <w:spacing w:before="60"/>
              <w:ind w:left="459"/>
              <w:rPr>
                <w:sz w:val="16"/>
                <w:szCs w:val="16"/>
              </w:rPr>
            </w:pPr>
            <w:r w:rsidRPr="00DD1045">
              <w:rPr>
                <w:sz w:val="16"/>
                <w:szCs w:val="16"/>
              </w:rPr>
              <w:t>Executive management</w:t>
            </w:r>
          </w:p>
        </w:tc>
        <w:tc>
          <w:tcPr>
            <w:tcW w:w="2284" w:type="dxa"/>
            <w:tcBorders>
              <w:top w:val="nil"/>
              <w:left w:val="nil"/>
              <w:bottom w:val="nil"/>
              <w:right w:val="nil"/>
            </w:tcBorders>
          </w:tcPr>
          <w:p w14:paraId="5D4545EE" w14:textId="05C64C9A" w:rsidR="00AE6ABE" w:rsidRPr="00DD1045" w:rsidRDefault="00AE6ABE" w:rsidP="00C85103">
            <w:pPr>
              <w:spacing w:before="60" w:after="60"/>
              <w:rPr>
                <w:sz w:val="16"/>
                <w:szCs w:val="16"/>
              </w:rPr>
            </w:pPr>
            <w:r w:rsidRPr="00DD1045">
              <w:rPr>
                <w:sz w:val="16"/>
                <w:szCs w:val="16"/>
              </w:rPr>
              <w:t>ARRs – section 13.2</w:t>
            </w:r>
          </w:p>
        </w:tc>
        <w:tc>
          <w:tcPr>
            <w:tcW w:w="1672" w:type="dxa"/>
            <w:tcBorders>
              <w:top w:val="nil"/>
              <w:left w:val="nil"/>
              <w:bottom w:val="nil"/>
              <w:right w:val="nil"/>
            </w:tcBorders>
          </w:tcPr>
          <w:p w14:paraId="4598AA0E" w14:textId="4FEE7767" w:rsidR="00AE6ABE" w:rsidRPr="00DD1045" w:rsidRDefault="2A54F424" w:rsidP="004C1FB9">
            <w:pPr>
              <w:rPr>
                <w:sz w:val="16"/>
                <w:szCs w:val="16"/>
              </w:rPr>
            </w:pPr>
            <w:r w:rsidRPr="1653766B">
              <w:rPr>
                <w:sz w:val="16"/>
                <w:szCs w:val="16"/>
              </w:rPr>
              <w:t>Executive Leadership Team</w:t>
            </w:r>
          </w:p>
        </w:tc>
      </w:tr>
      <w:tr w:rsidR="00AE6ABE" w:rsidRPr="00DD1045" w14:paraId="0B7D178E" w14:textId="77777777" w:rsidTr="00DB5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560" w:type="dxa"/>
            <w:vMerge/>
            <w:tcBorders>
              <w:top w:val="nil"/>
              <w:left w:val="nil"/>
              <w:bottom w:val="nil"/>
              <w:right w:val="nil"/>
            </w:tcBorders>
          </w:tcPr>
          <w:p w14:paraId="587F330B" w14:textId="77777777" w:rsidR="00AE6ABE" w:rsidRPr="00DD1045" w:rsidRDefault="00AE6ABE" w:rsidP="00C85103">
            <w:pPr>
              <w:spacing w:before="60" w:after="60"/>
              <w:rPr>
                <w:b/>
                <w:bCs/>
                <w:sz w:val="16"/>
                <w:szCs w:val="16"/>
              </w:rPr>
            </w:pPr>
          </w:p>
        </w:tc>
        <w:tc>
          <w:tcPr>
            <w:tcW w:w="3510" w:type="dxa"/>
            <w:tcBorders>
              <w:top w:val="nil"/>
              <w:left w:val="nil"/>
              <w:bottom w:val="nil"/>
              <w:right w:val="nil"/>
            </w:tcBorders>
          </w:tcPr>
          <w:p w14:paraId="22D61646" w14:textId="0C7DA472" w:rsidR="00AE6ABE" w:rsidRPr="00DD1045" w:rsidRDefault="00AE6ABE" w:rsidP="00C85103">
            <w:pPr>
              <w:pStyle w:val="ARDotpoints"/>
              <w:spacing w:before="60"/>
              <w:ind w:left="459"/>
              <w:rPr>
                <w:sz w:val="16"/>
                <w:szCs w:val="16"/>
              </w:rPr>
            </w:pPr>
            <w:r w:rsidRPr="00DD1045">
              <w:rPr>
                <w:sz w:val="16"/>
                <w:szCs w:val="16"/>
              </w:rPr>
              <w:t>Government bodies (statutory bodies and other entities)</w:t>
            </w:r>
          </w:p>
        </w:tc>
        <w:tc>
          <w:tcPr>
            <w:tcW w:w="2284" w:type="dxa"/>
            <w:tcBorders>
              <w:top w:val="nil"/>
              <w:left w:val="nil"/>
              <w:bottom w:val="nil"/>
              <w:right w:val="nil"/>
            </w:tcBorders>
          </w:tcPr>
          <w:p w14:paraId="0A2136C7" w14:textId="607AE6F2" w:rsidR="00AE6ABE" w:rsidRPr="00DD1045" w:rsidRDefault="00AE6ABE" w:rsidP="00C85103">
            <w:pPr>
              <w:spacing w:before="60" w:after="60"/>
              <w:rPr>
                <w:sz w:val="16"/>
                <w:szCs w:val="16"/>
              </w:rPr>
            </w:pPr>
            <w:r w:rsidRPr="00DD1045">
              <w:rPr>
                <w:sz w:val="16"/>
                <w:szCs w:val="16"/>
              </w:rPr>
              <w:t>ARRs – section 13.3</w:t>
            </w:r>
          </w:p>
        </w:tc>
        <w:tc>
          <w:tcPr>
            <w:tcW w:w="1672" w:type="dxa"/>
            <w:tcBorders>
              <w:top w:val="nil"/>
              <w:left w:val="nil"/>
              <w:bottom w:val="nil"/>
              <w:right w:val="nil"/>
            </w:tcBorders>
          </w:tcPr>
          <w:p w14:paraId="373F1E60" w14:textId="0A1E122C" w:rsidR="00AE6ABE" w:rsidRPr="00DD1045" w:rsidRDefault="3F8BD310" w:rsidP="004C1FB9">
            <w:pPr>
              <w:rPr>
                <w:sz w:val="16"/>
                <w:szCs w:val="16"/>
              </w:rPr>
            </w:pPr>
            <w:r w:rsidRPr="2F649129">
              <w:rPr>
                <w:sz w:val="16"/>
                <w:szCs w:val="16"/>
              </w:rPr>
              <w:t>WorkCover Board</w:t>
            </w:r>
          </w:p>
        </w:tc>
      </w:tr>
      <w:tr w:rsidR="00AE6ABE" w:rsidRPr="00DD1045" w14:paraId="51908B5D" w14:textId="77777777" w:rsidTr="00DB5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560" w:type="dxa"/>
            <w:vMerge/>
            <w:tcBorders>
              <w:top w:val="nil"/>
              <w:left w:val="nil"/>
              <w:bottom w:val="nil"/>
              <w:right w:val="nil"/>
            </w:tcBorders>
          </w:tcPr>
          <w:p w14:paraId="58FD4B6C" w14:textId="77777777" w:rsidR="00AE6ABE" w:rsidRPr="00DD1045" w:rsidRDefault="00AE6ABE" w:rsidP="00C85103">
            <w:pPr>
              <w:spacing w:before="60" w:after="60"/>
              <w:rPr>
                <w:b/>
                <w:bCs/>
                <w:sz w:val="16"/>
                <w:szCs w:val="16"/>
              </w:rPr>
            </w:pPr>
          </w:p>
        </w:tc>
        <w:tc>
          <w:tcPr>
            <w:tcW w:w="3510" w:type="dxa"/>
            <w:tcBorders>
              <w:top w:val="nil"/>
              <w:left w:val="nil"/>
              <w:bottom w:val="nil"/>
              <w:right w:val="nil"/>
            </w:tcBorders>
          </w:tcPr>
          <w:p w14:paraId="084347DA" w14:textId="05929E03" w:rsidR="00AE6ABE" w:rsidRPr="00DD1045" w:rsidRDefault="00AE6ABE" w:rsidP="00C85103">
            <w:pPr>
              <w:pStyle w:val="ARDotpoints"/>
              <w:spacing w:before="60"/>
              <w:ind w:left="459"/>
              <w:rPr>
                <w:sz w:val="16"/>
                <w:szCs w:val="16"/>
              </w:rPr>
            </w:pPr>
            <w:r w:rsidRPr="00DD1045">
              <w:rPr>
                <w:sz w:val="16"/>
                <w:szCs w:val="16"/>
              </w:rPr>
              <w:t>Public Sector Ethics</w:t>
            </w:r>
          </w:p>
        </w:tc>
        <w:tc>
          <w:tcPr>
            <w:tcW w:w="2284" w:type="dxa"/>
            <w:tcBorders>
              <w:top w:val="nil"/>
              <w:left w:val="nil"/>
              <w:bottom w:val="nil"/>
              <w:right w:val="nil"/>
            </w:tcBorders>
          </w:tcPr>
          <w:p w14:paraId="182832F7" w14:textId="13A29C31" w:rsidR="00AE6ABE" w:rsidRPr="00DD1045" w:rsidRDefault="00AE6ABE" w:rsidP="00C85103">
            <w:pPr>
              <w:spacing w:before="60" w:after="60"/>
              <w:rPr>
                <w:sz w:val="16"/>
                <w:szCs w:val="16"/>
              </w:rPr>
            </w:pPr>
            <w:r w:rsidRPr="00DD1045">
              <w:rPr>
                <w:sz w:val="16"/>
                <w:szCs w:val="16"/>
              </w:rPr>
              <w:t>ARRs – section 13.4</w:t>
            </w:r>
          </w:p>
        </w:tc>
        <w:tc>
          <w:tcPr>
            <w:tcW w:w="1672" w:type="dxa"/>
            <w:tcBorders>
              <w:top w:val="nil"/>
              <w:left w:val="nil"/>
              <w:bottom w:val="nil"/>
              <w:right w:val="nil"/>
            </w:tcBorders>
          </w:tcPr>
          <w:p w14:paraId="5937ED1E" w14:textId="29DA5AB4" w:rsidR="00AE6ABE" w:rsidRPr="00DD1045" w:rsidRDefault="0F6A7585" w:rsidP="004C1FB9">
            <w:pPr>
              <w:rPr>
                <w:sz w:val="16"/>
                <w:szCs w:val="16"/>
              </w:rPr>
            </w:pPr>
            <w:r w:rsidRPr="63E9602B">
              <w:rPr>
                <w:sz w:val="16"/>
                <w:szCs w:val="16"/>
              </w:rPr>
              <w:t>Public Sector Ethics</w:t>
            </w:r>
          </w:p>
        </w:tc>
      </w:tr>
      <w:tr w:rsidR="00AE6ABE" w:rsidRPr="00DD1045" w14:paraId="77AF6EFA" w14:textId="77777777" w:rsidTr="00DA3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560" w:type="dxa"/>
            <w:vMerge/>
            <w:tcBorders>
              <w:top w:val="nil"/>
              <w:left w:val="nil"/>
              <w:bottom w:val="nil"/>
              <w:right w:val="nil"/>
            </w:tcBorders>
          </w:tcPr>
          <w:p w14:paraId="313F451B" w14:textId="7520CBC7" w:rsidR="00AE6ABE" w:rsidRPr="00DD1045" w:rsidRDefault="00AE6ABE" w:rsidP="00C85103">
            <w:pPr>
              <w:spacing w:before="60" w:after="60"/>
              <w:rPr>
                <w:b/>
                <w:bCs/>
                <w:sz w:val="16"/>
                <w:szCs w:val="16"/>
              </w:rPr>
            </w:pPr>
          </w:p>
        </w:tc>
        <w:tc>
          <w:tcPr>
            <w:tcW w:w="3510" w:type="dxa"/>
            <w:tcBorders>
              <w:top w:val="nil"/>
              <w:left w:val="nil"/>
              <w:bottom w:val="nil"/>
              <w:right w:val="nil"/>
            </w:tcBorders>
          </w:tcPr>
          <w:p w14:paraId="634AD9E0" w14:textId="5CE0AB2C" w:rsidR="00AE6ABE" w:rsidRPr="00DD1045" w:rsidRDefault="00AE6ABE" w:rsidP="00C85103">
            <w:pPr>
              <w:pStyle w:val="ARDotpoints"/>
              <w:spacing w:before="60"/>
              <w:ind w:left="459"/>
              <w:rPr>
                <w:sz w:val="16"/>
                <w:szCs w:val="16"/>
              </w:rPr>
            </w:pPr>
            <w:r w:rsidRPr="00DD1045">
              <w:rPr>
                <w:sz w:val="16"/>
                <w:szCs w:val="16"/>
              </w:rPr>
              <w:t>Human Rights</w:t>
            </w:r>
          </w:p>
        </w:tc>
        <w:tc>
          <w:tcPr>
            <w:tcW w:w="2284" w:type="dxa"/>
            <w:tcBorders>
              <w:top w:val="nil"/>
              <w:left w:val="nil"/>
              <w:bottom w:val="nil"/>
              <w:right w:val="nil"/>
            </w:tcBorders>
          </w:tcPr>
          <w:p w14:paraId="499541A3" w14:textId="2562363E" w:rsidR="00AE6ABE" w:rsidRPr="00DD1045" w:rsidRDefault="00AE6ABE" w:rsidP="00C85103">
            <w:pPr>
              <w:spacing w:before="60" w:after="60"/>
              <w:rPr>
                <w:sz w:val="16"/>
                <w:szCs w:val="16"/>
              </w:rPr>
            </w:pPr>
            <w:r w:rsidRPr="00DD1045">
              <w:rPr>
                <w:sz w:val="16"/>
                <w:szCs w:val="16"/>
              </w:rPr>
              <w:t>ARRs – section 13.5</w:t>
            </w:r>
          </w:p>
        </w:tc>
        <w:tc>
          <w:tcPr>
            <w:tcW w:w="1672" w:type="dxa"/>
            <w:tcBorders>
              <w:top w:val="nil"/>
              <w:left w:val="nil"/>
              <w:bottom w:val="nil"/>
              <w:right w:val="nil"/>
            </w:tcBorders>
          </w:tcPr>
          <w:p w14:paraId="7E03ED31" w14:textId="020BC945" w:rsidR="00AE6ABE" w:rsidRPr="00DD1045" w:rsidRDefault="4A32F727" w:rsidP="004C1FB9">
            <w:pPr>
              <w:rPr>
                <w:sz w:val="16"/>
                <w:szCs w:val="16"/>
              </w:rPr>
            </w:pPr>
            <w:r w:rsidRPr="63E9602B">
              <w:rPr>
                <w:sz w:val="16"/>
                <w:szCs w:val="16"/>
              </w:rPr>
              <w:t>Human Rights</w:t>
            </w:r>
          </w:p>
        </w:tc>
      </w:tr>
      <w:tr w:rsidR="00AE6ABE" w:rsidRPr="00DD1045" w14:paraId="71F590A8" w14:textId="77777777" w:rsidTr="0030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560" w:type="dxa"/>
            <w:vMerge/>
            <w:tcBorders>
              <w:top w:val="nil"/>
              <w:left w:val="nil"/>
              <w:bottom w:val="nil"/>
              <w:right w:val="nil"/>
            </w:tcBorders>
          </w:tcPr>
          <w:p w14:paraId="20416887" w14:textId="77777777" w:rsidR="00AE6ABE" w:rsidRPr="00DD1045" w:rsidRDefault="00AE6ABE" w:rsidP="00C85103">
            <w:pPr>
              <w:spacing w:before="60" w:after="60"/>
              <w:rPr>
                <w:b/>
                <w:bCs/>
                <w:sz w:val="16"/>
                <w:szCs w:val="16"/>
              </w:rPr>
            </w:pPr>
          </w:p>
        </w:tc>
        <w:tc>
          <w:tcPr>
            <w:tcW w:w="3510" w:type="dxa"/>
            <w:tcBorders>
              <w:top w:val="nil"/>
              <w:left w:val="nil"/>
              <w:bottom w:val="nil"/>
              <w:right w:val="nil"/>
            </w:tcBorders>
          </w:tcPr>
          <w:p w14:paraId="0853D8B1" w14:textId="037EDCCE" w:rsidR="00AE6ABE" w:rsidRPr="00DD1045" w:rsidRDefault="00AE6ABE" w:rsidP="00C85103">
            <w:pPr>
              <w:pStyle w:val="ARDotpoints"/>
              <w:spacing w:before="60"/>
              <w:ind w:left="459"/>
              <w:rPr>
                <w:sz w:val="16"/>
                <w:szCs w:val="16"/>
              </w:rPr>
            </w:pPr>
            <w:r w:rsidRPr="00DD1045">
              <w:rPr>
                <w:sz w:val="16"/>
                <w:szCs w:val="16"/>
              </w:rPr>
              <w:t>Queensland public service values</w:t>
            </w:r>
          </w:p>
        </w:tc>
        <w:tc>
          <w:tcPr>
            <w:tcW w:w="2284" w:type="dxa"/>
            <w:tcBorders>
              <w:top w:val="nil"/>
              <w:left w:val="nil"/>
              <w:bottom w:val="nil"/>
              <w:right w:val="nil"/>
            </w:tcBorders>
          </w:tcPr>
          <w:p w14:paraId="13ACA305" w14:textId="6C933211" w:rsidR="00AE6ABE" w:rsidRPr="00DD1045" w:rsidRDefault="00AE6ABE" w:rsidP="00C85103">
            <w:pPr>
              <w:spacing w:before="60" w:after="60"/>
              <w:rPr>
                <w:sz w:val="16"/>
                <w:szCs w:val="16"/>
              </w:rPr>
            </w:pPr>
            <w:r w:rsidRPr="00DD1045">
              <w:rPr>
                <w:sz w:val="16"/>
                <w:szCs w:val="16"/>
              </w:rPr>
              <w:t>ARRs – section 13.6</w:t>
            </w:r>
          </w:p>
        </w:tc>
        <w:tc>
          <w:tcPr>
            <w:tcW w:w="1672" w:type="dxa"/>
            <w:tcBorders>
              <w:top w:val="nil"/>
              <w:left w:val="nil"/>
              <w:bottom w:val="nil"/>
              <w:right w:val="nil"/>
            </w:tcBorders>
          </w:tcPr>
          <w:p w14:paraId="60F6AA71" w14:textId="61A4EEB6" w:rsidR="00AE6ABE" w:rsidRPr="00DD1045" w:rsidRDefault="4FE04D74" w:rsidP="004C1FB9">
            <w:pPr>
              <w:rPr>
                <w:sz w:val="16"/>
                <w:szCs w:val="16"/>
              </w:rPr>
            </w:pPr>
            <w:r w:rsidRPr="03C20104">
              <w:rPr>
                <w:sz w:val="16"/>
                <w:szCs w:val="16"/>
              </w:rPr>
              <w:t>Chair and CEO report</w:t>
            </w:r>
          </w:p>
        </w:tc>
      </w:tr>
      <w:tr w:rsidR="00AE6ABE" w:rsidRPr="00DD1045" w14:paraId="32F9D3F9" w14:textId="77777777" w:rsidTr="00DA3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560" w:type="dxa"/>
            <w:vMerge w:val="restart"/>
            <w:tcBorders>
              <w:top w:val="nil"/>
              <w:left w:val="nil"/>
              <w:bottom w:val="nil"/>
              <w:right w:val="nil"/>
            </w:tcBorders>
          </w:tcPr>
          <w:p w14:paraId="74BB748A" w14:textId="54C0AED2" w:rsidR="00AE6ABE" w:rsidRPr="00DD1045" w:rsidRDefault="00AE6ABE" w:rsidP="00C85103">
            <w:pPr>
              <w:spacing w:before="60" w:after="60"/>
              <w:rPr>
                <w:b/>
                <w:bCs/>
                <w:sz w:val="16"/>
                <w:szCs w:val="16"/>
              </w:rPr>
            </w:pPr>
            <w:r w:rsidRPr="00DD1045">
              <w:rPr>
                <w:b/>
                <w:bCs/>
                <w:sz w:val="16"/>
                <w:szCs w:val="16"/>
              </w:rPr>
              <w:t>Governance – risk management and accountability</w:t>
            </w:r>
          </w:p>
        </w:tc>
        <w:tc>
          <w:tcPr>
            <w:tcW w:w="3510" w:type="dxa"/>
            <w:tcBorders>
              <w:top w:val="nil"/>
              <w:left w:val="nil"/>
              <w:bottom w:val="nil"/>
              <w:right w:val="nil"/>
            </w:tcBorders>
          </w:tcPr>
          <w:p w14:paraId="5672C78B" w14:textId="5D2C1808" w:rsidR="00AE6ABE" w:rsidRPr="00DD1045" w:rsidRDefault="00AE6ABE" w:rsidP="00C85103">
            <w:pPr>
              <w:pStyle w:val="ARDotpoints"/>
              <w:spacing w:before="60"/>
              <w:ind w:left="459"/>
              <w:rPr>
                <w:sz w:val="16"/>
                <w:szCs w:val="16"/>
              </w:rPr>
            </w:pPr>
            <w:r w:rsidRPr="00DD1045">
              <w:rPr>
                <w:sz w:val="16"/>
                <w:szCs w:val="16"/>
              </w:rPr>
              <w:t>Risk management</w:t>
            </w:r>
          </w:p>
        </w:tc>
        <w:tc>
          <w:tcPr>
            <w:tcW w:w="2284" w:type="dxa"/>
            <w:tcBorders>
              <w:top w:val="nil"/>
              <w:left w:val="nil"/>
              <w:bottom w:val="nil"/>
              <w:right w:val="nil"/>
            </w:tcBorders>
          </w:tcPr>
          <w:p w14:paraId="0C5E119E" w14:textId="6A3F35D5" w:rsidR="00AE6ABE" w:rsidRPr="00DD1045" w:rsidRDefault="00AE6ABE" w:rsidP="00C85103">
            <w:pPr>
              <w:spacing w:before="60" w:after="60"/>
              <w:rPr>
                <w:sz w:val="16"/>
                <w:szCs w:val="16"/>
              </w:rPr>
            </w:pPr>
            <w:r w:rsidRPr="00DD1045">
              <w:rPr>
                <w:sz w:val="16"/>
                <w:szCs w:val="16"/>
              </w:rPr>
              <w:t>ARRs – section 14.1</w:t>
            </w:r>
          </w:p>
        </w:tc>
        <w:tc>
          <w:tcPr>
            <w:tcW w:w="1672" w:type="dxa"/>
            <w:tcBorders>
              <w:top w:val="nil"/>
              <w:left w:val="nil"/>
              <w:bottom w:val="nil"/>
              <w:right w:val="nil"/>
            </w:tcBorders>
          </w:tcPr>
          <w:p w14:paraId="0FD68004" w14:textId="0C89107B" w:rsidR="00AE6ABE" w:rsidRPr="00DD1045" w:rsidRDefault="7C37F5B6" w:rsidP="004C1FB9">
            <w:pPr>
              <w:rPr>
                <w:sz w:val="16"/>
                <w:szCs w:val="16"/>
              </w:rPr>
            </w:pPr>
            <w:r w:rsidRPr="63E9602B">
              <w:rPr>
                <w:sz w:val="16"/>
                <w:szCs w:val="16"/>
              </w:rPr>
              <w:t>Risk management</w:t>
            </w:r>
          </w:p>
        </w:tc>
      </w:tr>
      <w:tr w:rsidR="00AE6ABE" w:rsidRPr="00DD1045" w14:paraId="4E6E068C" w14:textId="77777777" w:rsidTr="00DA3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560" w:type="dxa"/>
            <w:vMerge/>
            <w:tcBorders>
              <w:top w:val="nil"/>
              <w:left w:val="nil"/>
              <w:bottom w:val="nil"/>
              <w:right w:val="nil"/>
            </w:tcBorders>
          </w:tcPr>
          <w:p w14:paraId="3545CBFA" w14:textId="676625B0" w:rsidR="00AE6ABE" w:rsidRPr="00DD1045" w:rsidRDefault="00AE6ABE" w:rsidP="00C85103">
            <w:pPr>
              <w:spacing w:before="60" w:after="60"/>
              <w:rPr>
                <w:b/>
                <w:bCs/>
                <w:sz w:val="16"/>
                <w:szCs w:val="16"/>
              </w:rPr>
            </w:pPr>
          </w:p>
        </w:tc>
        <w:tc>
          <w:tcPr>
            <w:tcW w:w="3510" w:type="dxa"/>
            <w:tcBorders>
              <w:top w:val="nil"/>
              <w:left w:val="nil"/>
              <w:bottom w:val="nil"/>
              <w:right w:val="nil"/>
            </w:tcBorders>
          </w:tcPr>
          <w:p w14:paraId="51AF0B76" w14:textId="6649AE05" w:rsidR="00AE6ABE" w:rsidRPr="00DD1045" w:rsidRDefault="00AE6ABE" w:rsidP="00C85103">
            <w:pPr>
              <w:pStyle w:val="ARDotpoints"/>
              <w:spacing w:before="60"/>
              <w:ind w:left="459"/>
              <w:rPr>
                <w:sz w:val="16"/>
                <w:szCs w:val="16"/>
              </w:rPr>
            </w:pPr>
            <w:r w:rsidRPr="00DD1045">
              <w:rPr>
                <w:sz w:val="16"/>
                <w:szCs w:val="16"/>
              </w:rPr>
              <w:t>Audit committee</w:t>
            </w:r>
          </w:p>
        </w:tc>
        <w:tc>
          <w:tcPr>
            <w:tcW w:w="2284" w:type="dxa"/>
            <w:tcBorders>
              <w:top w:val="nil"/>
              <w:left w:val="nil"/>
              <w:bottom w:val="nil"/>
              <w:right w:val="nil"/>
            </w:tcBorders>
          </w:tcPr>
          <w:p w14:paraId="43579F4F" w14:textId="1631CDC3" w:rsidR="00AE6ABE" w:rsidRPr="00DD1045" w:rsidRDefault="00AE6ABE" w:rsidP="00C85103">
            <w:pPr>
              <w:spacing w:before="60" w:after="60"/>
              <w:rPr>
                <w:sz w:val="16"/>
                <w:szCs w:val="16"/>
              </w:rPr>
            </w:pPr>
            <w:r w:rsidRPr="00DD1045">
              <w:rPr>
                <w:sz w:val="16"/>
                <w:szCs w:val="16"/>
              </w:rPr>
              <w:t>ARRs – section 14.2</w:t>
            </w:r>
          </w:p>
        </w:tc>
        <w:tc>
          <w:tcPr>
            <w:tcW w:w="1672" w:type="dxa"/>
            <w:tcBorders>
              <w:top w:val="nil"/>
              <w:left w:val="nil"/>
              <w:bottom w:val="nil"/>
              <w:right w:val="nil"/>
            </w:tcBorders>
          </w:tcPr>
          <w:p w14:paraId="138773B1" w14:textId="311C2A3D" w:rsidR="00AE6ABE" w:rsidRPr="00DD1045" w:rsidRDefault="1E2CFCAE" w:rsidP="004C1FB9">
            <w:pPr>
              <w:rPr>
                <w:sz w:val="16"/>
                <w:szCs w:val="16"/>
              </w:rPr>
            </w:pPr>
            <w:r w:rsidRPr="362295DA">
              <w:rPr>
                <w:sz w:val="16"/>
                <w:szCs w:val="16"/>
              </w:rPr>
              <w:t>Risk and Audit Committee</w:t>
            </w:r>
          </w:p>
        </w:tc>
      </w:tr>
      <w:tr w:rsidR="00AE6ABE" w:rsidRPr="00DD1045" w14:paraId="7355C4CF" w14:textId="77777777" w:rsidTr="00DA3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560" w:type="dxa"/>
            <w:vMerge/>
            <w:tcBorders>
              <w:top w:val="nil"/>
              <w:left w:val="nil"/>
              <w:bottom w:val="nil"/>
              <w:right w:val="nil"/>
            </w:tcBorders>
          </w:tcPr>
          <w:p w14:paraId="6DFDFA01" w14:textId="77777777" w:rsidR="00AE6ABE" w:rsidRPr="00DD1045" w:rsidRDefault="00AE6ABE" w:rsidP="00C85103">
            <w:pPr>
              <w:spacing w:before="60" w:after="60"/>
              <w:rPr>
                <w:b/>
                <w:bCs/>
                <w:sz w:val="16"/>
                <w:szCs w:val="16"/>
              </w:rPr>
            </w:pPr>
          </w:p>
        </w:tc>
        <w:tc>
          <w:tcPr>
            <w:tcW w:w="3510" w:type="dxa"/>
            <w:tcBorders>
              <w:top w:val="nil"/>
              <w:left w:val="nil"/>
              <w:bottom w:val="nil"/>
              <w:right w:val="nil"/>
            </w:tcBorders>
          </w:tcPr>
          <w:p w14:paraId="436CEDB3" w14:textId="123C79E4" w:rsidR="00AE6ABE" w:rsidRPr="00DD1045" w:rsidRDefault="00AE6ABE" w:rsidP="00C85103">
            <w:pPr>
              <w:pStyle w:val="ARDotpoints"/>
              <w:spacing w:before="60"/>
              <w:ind w:left="459"/>
              <w:rPr>
                <w:sz w:val="16"/>
                <w:szCs w:val="16"/>
              </w:rPr>
            </w:pPr>
            <w:r w:rsidRPr="00DD1045">
              <w:rPr>
                <w:sz w:val="16"/>
                <w:szCs w:val="16"/>
              </w:rPr>
              <w:t>Internal audit</w:t>
            </w:r>
          </w:p>
        </w:tc>
        <w:tc>
          <w:tcPr>
            <w:tcW w:w="2284" w:type="dxa"/>
            <w:tcBorders>
              <w:top w:val="nil"/>
              <w:left w:val="nil"/>
              <w:bottom w:val="nil"/>
              <w:right w:val="nil"/>
            </w:tcBorders>
          </w:tcPr>
          <w:p w14:paraId="44E7D740" w14:textId="184C4A14" w:rsidR="00AE6ABE" w:rsidRPr="00DD1045" w:rsidRDefault="00AE6ABE" w:rsidP="00C85103">
            <w:pPr>
              <w:spacing w:before="60" w:after="60"/>
              <w:rPr>
                <w:sz w:val="16"/>
                <w:szCs w:val="16"/>
              </w:rPr>
            </w:pPr>
            <w:r w:rsidRPr="00DD1045">
              <w:rPr>
                <w:sz w:val="16"/>
                <w:szCs w:val="16"/>
              </w:rPr>
              <w:t>ARRs – section 14.3</w:t>
            </w:r>
          </w:p>
        </w:tc>
        <w:tc>
          <w:tcPr>
            <w:tcW w:w="1672" w:type="dxa"/>
            <w:tcBorders>
              <w:top w:val="nil"/>
              <w:left w:val="nil"/>
              <w:bottom w:val="nil"/>
              <w:right w:val="nil"/>
            </w:tcBorders>
          </w:tcPr>
          <w:p w14:paraId="0D398952" w14:textId="50D8063C" w:rsidR="00AE6ABE" w:rsidRPr="00DD1045" w:rsidRDefault="73FE3FC6" w:rsidP="004C1FB9">
            <w:pPr>
              <w:rPr>
                <w:sz w:val="16"/>
                <w:szCs w:val="16"/>
              </w:rPr>
            </w:pPr>
            <w:r w:rsidRPr="362295DA">
              <w:rPr>
                <w:sz w:val="16"/>
                <w:szCs w:val="16"/>
              </w:rPr>
              <w:t>Internal audit</w:t>
            </w:r>
          </w:p>
        </w:tc>
      </w:tr>
      <w:tr w:rsidR="00AE6ABE" w:rsidRPr="00DD1045" w14:paraId="0A37A0C8" w14:textId="77777777" w:rsidTr="00DA3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560" w:type="dxa"/>
            <w:vMerge/>
            <w:tcBorders>
              <w:top w:val="nil"/>
              <w:left w:val="nil"/>
              <w:bottom w:val="nil"/>
              <w:right w:val="nil"/>
            </w:tcBorders>
          </w:tcPr>
          <w:p w14:paraId="3C6C37FA" w14:textId="77777777" w:rsidR="00AE6ABE" w:rsidRPr="00DD1045" w:rsidRDefault="00AE6ABE" w:rsidP="00C85103">
            <w:pPr>
              <w:spacing w:before="60" w:after="60"/>
              <w:rPr>
                <w:b/>
                <w:bCs/>
                <w:sz w:val="16"/>
                <w:szCs w:val="16"/>
              </w:rPr>
            </w:pPr>
          </w:p>
        </w:tc>
        <w:tc>
          <w:tcPr>
            <w:tcW w:w="3510" w:type="dxa"/>
            <w:tcBorders>
              <w:top w:val="nil"/>
              <w:left w:val="nil"/>
              <w:bottom w:val="nil"/>
              <w:right w:val="nil"/>
            </w:tcBorders>
          </w:tcPr>
          <w:p w14:paraId="1EAC588D" w14:textId="30BFC619" w:rsidR="00AE6ABE" w:rsidRPr="00DD1045" w:rsidRDefault="00AE6ABE" w:rsidP="00C85103">
            <w:pPr>
              <w:pStyle w:val="ARDotpoints"/>
              <w:spacing w:before="60"/>
              <w:ind w:left="459"/>
              <w:rPr>
                <w:sz w:val="16"/>
                <w:szCs w:val="16"/>
              </w:rPr>
            </w:pPr>
            <w:r w:rsidRPr="00DD1045">
              <w:rPr>
                <w:sz w:val="16"/>
                <w:szCs w:val="16"/>
              </w:rPr>
              <w:t>External scrutiny</w:t>
            </w:r>
          </w:p>
        </w:tc>
        <w:tc>
          <w:tcPr>
            <w:tcW w:w="2284" w:type="dxa"/>
            <w:tcBorders>
              <w:top w:val="nil"/>
              <w:left w:val="nil"/>
              <w:bottom w:val="nil"/>
              <w:right w:val="nil"/>
            </w:tcBorders>
          </w:tcPr>
          <w:p w14:paraId="54CDCDD2" w14:textId="720CAF54" w:rsidR="00AE6ABE" w:rsidRPr="00DD1045" w:rsidRDefault="00AE6ABE" w:rsidP="00C85103">
            <w:pPr>
              <w:spacing w:before="60" w:after="60"/>
              <w:rPr>
                <w:sz w:val="16"/>
                <w:szCs w:val="16"/>
              </w:rPr>
            </w:pPr>
            <w:r w:rsidRPr="00DD1045">
              <w:rPr>
                <w:sz w:val="16"/>
                <w:szCs w:val="16"/>
              </w:rPr>
              <w:t>ARRs – section 14.4</w:t>
            </w:r>
          </w:p>
        </w:tc>
        <w:tc>
          <w:tcPr>
            <w:tcW w:w="1672" w:type="dxa"/>
            <w:tcBorders>
              <w:top w:val="nil"/>
              <w:left w:val="nil"/>
              <w:bottom w:val="nil"/>
              <w:right w:val="nil"/>
            </w:tcBorders>
          </w:tcPr>
          <w:p w14:paraId="4D1C1876" w14:textId="6C20FCB0" w:rsidR="00AE6ABE" w:rsidRPr="00DD1045" w:rsidRDefault="51558725" w:rsidP="362295DA">
            <w:pPr>
              <w:rPr>
                <w:sz w:val="16"/>
                <w:szCs w:val="16"/>
              </w:rPr>
            </w:pPr>
            <w:r w:rsidRPr="362295DA">
              <w:rPr>
                <w:sz w:val="16"/>
                <w:szCs w:val="16"/>
              </w:rPr>
              <w:t>External audit</w:t>
            </w:r>
          </w:p>
          <w:p w14:paraId="765DDEC2" w14:textId="002E62AF" w:rsidR="00AE6ABE" w:rsidRPr="00DD1045" w:rsidRDefault="51558725" w:rsidP="004C1FB9">
            <w:pPr>
              <w:rPr>
                <w:sz w:val="16"/>
                <w:szCs w:val="16"/>
              </w:rPr>
            </w:pPr>
            <w:r w:rsidRPr="362295DA">
              <w:rPr>
                <w:sz w:val="16"/>
                <w:szCs w:val="16"/>
              </w:rPr>
              <w:t>External scrutiny</w:t>
            </w:r>
          </w:p>
        </w:tc>
      </w:tr>
      <w:tr w:rsidR="00AE6ABE" w:rsidRPr="00DD1045" w14:paraId="3B6856F0" w14:textId="77777777" w:rsidTr="00DA3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560" w:type="dxa"/>
            <w:vMerge/>
            <w:tcBorders>
              <w:top w:val="nil"/>
              <w:left w:val="nil"/>
              <w:bottom w:val="nil"/>
              <w:right w:val="nil"/>
            </w:tcBorders>
          </w:tcPr>
          <w:p w14:paraId="131FC624" w14:textId="78CF8988" w:rsidR="00AE6ABE" w:rsidRPr="00DD1045" w:rsidRDefault="00AE6ABE" w:rsidP="00C85103">
            <w:pPr>
              <w:spacing w:before="60" w:after="60"/>
              <w:rPr>
                <w:b/>
                <w:bCs/>
                <w:sz w:val="16"/>
                <w:szCs w:val="16"/>
              </w:rPr>
            </w:pPr>
          </w:p>
        </w:tc>
        <w:tc>
          <w:tcPr>
            <w:tcW w:w="3510" w:type="dxa"/>
            <w:tcBorders>
              <w:top w:val="nil"/>
              <w:left w:val="nil"/>
              <w:bottom w:val="nil"/>
              <w:right w:val="nil"/>
            </w:tcBorders>
          </w:tcPr>
          <w:p w14:paraId="4501105F" w14:textId="2AEE56F5" w:rsidR="00AE6ABE" w:rsidRPr="00DD1045" w:rsidRDefault="00AE6ABE" w:rsidP="00C85103">
            <w:pPr>
              <w:pStyle w:val="ARDotpoints"/>
              <w:spacing w:before="60"/>
              <w:ind w:left="459"/>
              <w:rPr>
                <w:sz w:val="16"/>
                <w:szCs w:val="16"/>
              </w:rPr>
            </w:pPr>
            <w:r w:rsidRPr="00DD1045">
              <w:rPr>
                <w:sz w:val="16"/>
                <w:szCs w:val="16"/>
              </w:rPr>
              <w:t>Information systems and recordkeeping</w:t>
            </w:r>
          </w:p>
        </w:tc>
        <w:tc>
          <w:tcPr>
            <w:tcW w:w="2284" w:type="dxa"/>
            <w:tcBorders>
              <w:top w:val="nil"/>
              <w:left w:val="nil"/>
              <w:bottom w:val="nil"/>
              <w:right w:val="nil"/>
            </w:tcBorders>
          </w:tcPr>
          <w:p w14:paraId="54DDD651" w14:textId="056A4D57" w:rsidR="00AE6ABE" w:rsidRPr="00DD1045" w:rsidRDefault="00AE6ABE" w:rsidP="00C85103">
            <w:pPr>
              <w:spacing w:before="60" w:after="60"/>
              <w:rPr>
                <w:sz w:val="16"/>
                <w:szCs w:val="16"/>
              </w:rPr>
            </w:pPr>
            <w:r w:rsidRPr="00DD1045">
              <w:rPr>
                <w:sz w:val="16"/>
                <w:szCs w:val="16"/>
              </w:rPr>
              <w:t>ARRs – section 14.5</w:t>
            </w:r>
          </w:p>
        </w:tc>
        <w:tc>
          <w:tcPr>
            <w:tcW w:w="1672" w:type="dxa"/>
            <w:tcBorders>
              <w:top w:val="nil"/>
              <w:left w:val="nil"/>
              <w:bottom w:val="nil"/>
              <w:right w:val="nil"/>
            </w:tcBorders>
          </w:tcPr>
          <w:p w14:paraId="5D73B80B" w14:textId="49BD9325" w:rsidR="00AE6ABE" w:rsidRPr="00DD1045" w:rsidRDefault="7096594A" w:rsidP="004C1FB9">
            <w:pPr>
              <w:rPr>
                <w:sz w:val="16"/>
                <w:szCs w:val="16"/>
              </w:rPr>
            </w:pPr>
            <w:r w:rsidRPr="3605C3C0">
              <w:rPr>
                <w:sz w:val="16"/>
                <w:szCs w:val="16"/>
              </w:rPr>
              <w:t>Information systems and recordkeeping</w:t>
            </w:r>
          </w:p>
        </w:tc>
      </w:tr>
      <w:tr w:rsidR="00AE6ABE" w:rsidRPr="00DD1045" w14:paraId="221F4B3F" w14:textId="77777777" w:rsidTr="00DA3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560" w:type="dxa"/>
            <w:vMerge/>
            <w:tcBorders>
              <w:top w:val="nil"/>
              <w:left w:val="nil"/>
              <w:bottom w:val="nil"/>
              <w:right w:val="nil"/>
            </w:tcBorders>
          </w:tcPr>
          <w:p w14:paraId="2CDBFFF8" w14:textId="2A7C3970" w:rsidR="00AE6ABE" w:rsidRPr="00DD1045" w:rsidRDefault="00AE6ABE" w:rsidP="00C85103">
            <w:pPr>
              <w:spacing w:before="60" w:after="60"/>
              <w:rPr>
                <w:b/>
                <w:bCs/>
                <w:sz w:val="16"/>
                <w:szCs w:val="16"/>
              </w:rPr>
            </w:pPr>
          </w:p>
        </w:tc>
        <w:tc>
          <w:tcPr>
            <w:tcW w:w="3510" w:type="dxa"/>
            <w:tcBorders>
              <w:top w:val="nil"/>
              <w:left w:val="nil"/>
              <w:bottom w:val="nil"/>
              <w:right w:val="nil"/>
            </w:tcBorders>
          </w:tcPr>
          <w:p w14:paraId="0EF78B36" w14:textId="45A54774" w:rsidR="00AE6ABE" w:rsidRPr="00DD1045" w:rsidRDefault="00AE6ABE" w:rsidP="00C85103">
            <w:pPr>
              <w:pStyle w:val="ARDotpoints"/>
              <w:spacing w:before="60"/>
              <w:ind w:left="459"/>
              <w:rPr>
                <w:sz w:val="16"/>
                <w:szCs w:val="16"/>
              </w:rPr>
            </w:pPr>
            <w:r w:rsidRPr="00DD1045">
              <w:rPr>
                <w:sz w:val="16"/>
                <w:szCs w:val="16"/>
              </w:rPr>
              <w:t>Information security attestation</w:t>
            </w:r>
          </w:p>
        </w:tc>
        <w:tc>
          <w:tcPr>
            <w:tcW w:w="2284" w:type="dxa"/>
            <w:tcBorders>
              <w:top w:val="nil"/>
              <w:left w:val="nil"/>
              <w:bottom w:val="nil"/>
              <w:right w:val="nil"/>
            </w:tcBorders>
          </w:tcPr>
          <w:p w14:paraId="49A46059" w14:textId="64BDF57A" w:rsidR="00AE6ABE" w:rsidRPr="00DD1045" w:rsidRDefault="00AE6ABE" w:rsidP="00C85103">
            <w:pPr>
              <w:spacing w:before="60" w:after="60"/>
              <w:rPr>
                <w:sz w:val="16"/>
                <w:szCs w:val="16"/>
              </w:rPr>
            </w:pPr>
            <w:r w:rsidRPr="00DD1045">
              <w:rPr>
                <w:sz w:val="16"/>
                <w:szCs w:val="16"/>
              </w:rPr>
              <w:t>ARRs – section 14.6</w:t>
            </w:r>
          </w:p>
        </w:tc>
        <w:tc>
          <w:tcPr>
            <w:tcW w:w="1672" w:type="dxa"/>
            <w:tcBorders>
              <w:top w:val="nil"/>
              <w:left w:val="nil"/>
              <w:bottom w:val="nil"/>
              <w:right w:val="nil"/>
            </w:tcBorders>
          </w:tcPr>
          <w:p w14:paraId="421105FB" w14:textId="17EED63D" w:rsidR="00AE6ABE" w:rsidRPr="00DD1045" w:rsidRDefault="2AAB477D" w:rsidP="004C1FB9">
            <w:pPr>
              <w:rPr>
                <w:sz w:val="16"/>
                <w:szCs w:val="16"/>
              </w:rPr>
            </w:pPr>
            <w:r w:rsidRPr="04B6C7C3">
              <w:rPr>
                <w:sz w:val="16"/>
                <w:szCs w:val="16"/>
              </w:rPr>
              <w:t xml:space="preserve">Applicable to Departments - </w:t>
            </w:r>
            <w:r w:rsidR="11859CF3" w:rsidRPr="04B6C7C3">
              <w:rPr>
                <w:sz w:val="16"/>
                <w:szCs w:val="16"/>
              </w:rPr>
              <w:t>Not applicable to W</w:t>
            </w:r>
            <w:r w:rsidR="008A2A47" w:rsidRPr="04B6C7C3">
              <w:rPr>
                <w:sz w:val="16"/>
                <w:szCs w:val="16"/>
              </w:rPr>
              <w:t>C</w:t>
            </w:r>
            <w:r w:rsidR="11859CF3" w:rsidRPr="04B6C7C3">
              <w:rPr>
                <w:sz w:val="16"/>
                <w:szCs w:val="16"/>
              </w:rPr>
              <w:t>Q</w:t>
            </w:r>
          </w:p>
        </w:tc>
      </w:tr>
      <w:tr w:rsidR="00AE6ABE" w:rsidRPr="00DD1045" w14:paraId="1077478A" w14:textId="77777777" w:rsidTr="00DA3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560" w:type="dxa"/>
            <w:vMerge w:val="restart"/>
            <w:tcBorders>
              <w:top w:val="nil"/>
              <w:left w:val="nil"/>
              <w:bottom w:val="nil"/>
              <w:right w:val="nil"/>
            </w:tcBorders>
          </w:tcPr>
          <w:p w14:paraId="25967A4B" w14:textId="7AB43F19" w:rsidR="00AE6ABE" w:rsidRPr="00DD1045" w:rsidRDefault="00AE6ABE" w:rsidP="00C85103">
            <w:pPr>
              <w:spacing w:before="60" w:after="60"/>
              <w:rPr>
                <w:b/>
                <w:bCs/>
                <w:sz w:val="16"/>
                <w:szCs w:val="16"/>
              </w:rPr>
            </w:pPr>
            <w:r w:rsidRPr="00DD1045">
              <w:rPr>
                <w:b/>
                <w:bCs/>
                <w:sz w:val="16"/>
                <w:szCs w:val="16"/>
              </w:rPr>
              <w:t>Governance – human resources</w:t>
            </w:r>
          </w:p>
        </w:tc>
        <w:tc>
          <w:tcPr>
            <w:tcW w:w="3510" w:type="dxa"/>
            <w:tcBorders>
              <w:top w:val="nil"/>
              <w:left w:val="nil"/>
              <w:bottom w:val="nil"/>
              <w:right w:val="nil"/>
            </w:tcBorders>
          </w:tcPr>
          <w:p w14:paraId="18DE50E3" w14:textId="47DD6637" w:rsidR="00AE6ABE" w:rsidRPr="00DD1045" w:rsidRDefault="00AE6ABE" w:rsidP="00C85103">
            <w:pPr>
              <w:pStyle w:val="ARDotpoints"/>
              <w:spacing w:before="60"/>
              <w:ind w:left="459"/>
              <w:rPr>
                <w:sz w:val="16"/>
                <w:szCs w:val="16"/>
              </w:rPr>
            </w:pPr>
            <w:r w:rsidRPr="00DD1045">
              <w:rPr>
                <w:sz w:val="16"/>
                <w:szCs w:val="16"/>
              </w:rPr>
              <w:t>Strategic workforce planning and performance</w:t>
            </w:r>
          </w:p>
        </w:tc>
        <w:tc>
          <w:tcPr>
            <w:tcW w:w="2284" w:type="dxa"/>
            <w:tcBorders>
              <w:top w:val="nil"/>
              <w:left w:val="nil"/>
              <w:bottom w:val="nil"/>
              <w:right w:val="nil"/>
            </w:tcBorders>
          </w:tcPr>
          <w:p w14:paraId="23D1CC70" w14:textId="27828A1D" w:rsidR="00AE6ABE" w:rsidRPr="00DD1045" w:rsidRDefault="00AE6ABE" w:rsidP="00AE6ABE">
            <w:pPr>
              <w:spacing w:before="60" w:after="60"/>
              <w:rPr>
                <w:sz w:val="16"/>
                <w:szCs w:val="16"/>
              </w:rPr>
            </w:pPr>
            <w:r w:rsidRPr="00DD1045">
              <w:rPr>
                <w:sz w:val="16"/>
                <w:szCs w:val="16"/>
              </w:rPr>
              <w:t>ARRs – section 15.1</w:t>
            </w:r>
          </w:p>
        </w:tc>
        <w:tc>
          <w:tcPr>
            <w:tcW w:w="1672" w:type="dxa"/>
            <w:tcBorders>
              <w:top w:val="nil"/>
              <w:left w:val="nil"/>
              <w:bottom w:val="nil"/>
              <w:right w:val="nil"/>
            </w:tcBorders>
          </w:tcPr>
          <w:p w14:paraId="429CB277" w14:textId="64E946AD" w:rsidR="00AE6ABE" w:rsidRPr="00DD1045" w:rsidRDefault="06AB3A02" w:rsidP="04B6C7C3">
            <w:pPr>
              <w:spacing w:line="259" w:lineRule="auto"/>
            </w:pPr>
            <w:r w:rsidRPr="04B6C7C3">
              <w:rPr>
                <w:sz w:val="16"/>
                <w:szCs w:val="16"/>
              </w:rPr>
              <w:t>Strategic workforce planning and performance</w:t>
            </w:r>
          </w:p>
        </w:tc>
      </w:tr>
      <w:tr w:rsidR="00AE6ABE" w:rsidRPr="00DD1045" w14:paraId="30057A90" w14:textId="77777777" w:rsidTr="00DA3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560" w:type="dxa"/>
            <w:vMerge/>
            <w:tcBorders>
              <w:top w:val="nil"/>
              <w:left w:val="nil"/>
              <w:bottom w:val="nil"/>
              <w:right w:val="nil"/>
            </w:tcBorders>
          </w:tcPr>
          <w:p w14:paraId="4B003779" w14:textId="7A3CD562" w:rsidR="00AE6ABE" w:rsidRPr="00DD1045" w:rsidRDefault="00AE6ABE" w:rsidP="00C85103">
            <w:pPr>
              <w:spacing w:before="60" w:after="60"/>
              <w:rPr>
                <w:b/>
                <w:bCs/>
                <w:sz w:val="16"/>
                <w:szCs w:val="16"/>
              </w:rPr>
            </w:pPr>
          </w:p>
        </w:tc>
        <w:tc>
          <w:tcPr>
            <w:tcW w:w="3510" w:type="dxa"/>
            <w:tcBorders>
              <w:top w:val="nil"/>
              <w:left w:val="nil"/>
              <w:bottom w:val="nil"/>
              <w:right w:val="nil"/>
            </w:tcBorders>
          </w:tcPr>
          <w:p w14:paraId="625CFB97" w14:textId="626F6720" w:rsidR="00AE6ABE" w:rsidRPr="00DD1045" w:rsidRDefault="00AE6ABE" w:rsidP="00C85103">
            <w:pPr>
              <w:pStyle w:val="ARDotpoints"/>
              <w:spacing w:before="60"/>
              <w:ind w:left="459"/>
              <w:rPr>
                <w:sz w:val="16"/>
                <w:szCs w:val="16"/>
              </w:rPr>
            </w:pPr>
            <w:r w:rsidRPr="00DD1045">
              <w:rPr>
                <w:sz w:val="16"/>
                <w:szCs w:val="16"/>
              </w:rPr>
              <w:t>Early retirement, redundancy and retrenchment</w:t>
            </w:r>
          </w:p>
        </w:tc>
        <w:tc>
          <w:tcPr>
            <w:tcW w:w="2284" w:type="dxa"/>
            <w:tcBorders>
              <w:top w:val="nil"/>
              <w:left w:val="nil"/>
              <w:bottom w:val="nil"/>
              <w:right w:val="nil"/>
            </w:tcBorders>
          </w:tcPr>
          <w:p w14:paraId="0C328E16" w14:textId="38555D65" w:rsidR="00AE6ABE" w:rsidRPr="00DD1045" w:rsidRDefault="00AE6ABE" w:rsidP="00AE6ABE">
            <w:pPr>
              <w:spacing w:before="60" w:after="60"/>
              <w:rPr>
                <w:i/>
                <w:iCs/>
                <w:sz w:val="16"/>
                <w:szCs w:val="16"/>
              </w:rPr>
            </w:pPr>
            <w:r w:rsidRPr="00DD1045">
              <w:rPr>
                <w:sz w:val="16"/>
                <w:szCs w:val="16"/>
              </w:rPr>
              <w:t xml:space="preserve">Directive No. 04/18 </w:t>
            </w:r>
            <w:r w:rsidRPr="00DD1045">
              <w:rPr>
                <w:i/>
                <w:iCs/>
                <w:sz w:val="16"/>
                <w:szCs w:val="16"/>
              </w:rPr>
              <w:t xml:space="preserve">Early Retirement, Redundancy and Retrenchment </w:t>
            </w:r>
          </w:p>
          <w:p w14:paraId="242CB982" w14:textId="3CB523FE" w:rsidR="00AE6ABE" w:rsidRPr="00DD1045" w:rsidRDefault="00AE6ABE" w:rsidP="00AE6ABE">
            <w:pPr>
              <w:spacing w:before="60" w:after="60"/>
              <w:rPr>
                <w:sz w:val="16"/>
                <w:szCs w:val="16"/>
              </w:rPr>
            </w:pPr>
            <w:r w:rsidRPr="00DD1045">
              <w:rPr>
                <w:sz w:val="16"/>
                <w:szCs w:val="16"/>
              </w:rPr>
              <w:t>ARRs – section 15.2</w:t>
            </w:r>
          </w:p>
        </w:tc>
        <w:tc>
          <w:tcPr>
            <w:tcW w:w="1672" w:type="dxa"/>
            <w:tcBorders>
              <w:top w:val="nil"/>
              <w:left w:val="nil"/>
              <w:bottom w:val="nil"/>
              <w:right w:val="nil"/>
            </w:tcBorders>
          </w:tcPr>
          <w:p w14:paraId="62D5680C" w14:textId="0D78BA64" w:rsidR="00AE6ABE" w:rsidRPr="00DD1045" w:rsidRDefault="2D52DB9C" w:rsidP="04B6C7C3">
            <w:pPr>
              <w:spacing w:line="259" w:lineRule="auto"/>
            </w:pPr>
            <w:r w:rsidRPr="7DDED802">
              <w:rPr>
                <w:sz w:val="16"/>
                <w:szCs w:val="16"/>
              </w:rPr>
              <w:t>Early retirement, redundancy and retrenchment</w:t>
            </w:r>
          </w:p>
        </w:tc>
      </w:tr>
      <w:tr w:rsidR="00AE6ABE" w:rsidRPr="00DD1045" w14:paraId="52E38DC8" w14:textId="77777777" w:rsidTr="00DA3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560" w:type="dxa"/>
            <w:vMerge w:val="restart"/>
            <w:tcBorders>
              <w:top w:val="nil"/>
              <w:left w:val="nil"/>
              <w:bottom w:val="nil"/>
              <w:right w:val="nil"/>
            </w:tcBorders>
          </w:tcPr>
          <w:p w14:paraId="5D3BB6DC" w14:textId="0AD2FE86" w:rsidR="00AE6ABE" w:rsidRPr="00DD1045" w:rsidRDefault="00AE6ABE" w:rsidP="00C85103">
            <w:pPr>
              <w:spacing w:before="60" w:after="60"/>
              <w:rPr>
                <w:b/>
                <w:bCs/>
                <w:sz w:val="16"/>
                <w:szCs w:val="16"/>
              </w:rPr>
            </w:pPr>
            <w:r w:rsidRPr="00DD1045">
              <w:rPr>
                <w:b/>
                <w:bCs/>
                <w:sz w:val="16"/>
                <w:szCs w:val="16"/>
              </w:rPr>
              <w:t>Open data</w:t>
            </w:r>
          </w:p>
        </w:tc>
        <w:tc>
          <w:tcPr>
            <w:tcW w:w="3510" w:type="dxa"/>
            <w:tcBorders>
              <w:top w:val="nil"/>
              <w:left w:val="nil"/>
              <w:bottom w:val="nil"/>
              <w:right w:val="nil"/>
            </w:tcBorders>
          </w:tcPr>
          <w:p w14:paraId="56E2F9E0" w14:textId="2992B04D" w:rsidR="00AE6ABE" w:rsidRPr="00DD1045" w:rsidRDefault="00AE6ABE" w:rsidP="00C85103">
            <w:pPr>
              <w:pStyle w:val="ARDotpoints"/>
              <w:spacing w:before="60"/>
              <w:ind w:left="459"/>
              <w:rPr>
                <w:sz w:val="16"/>
                <w:szCs w:val="16"/>
              </w:rPr>
            </w:pPr>
            <w:r w:rsidRPr="00DD1045">
              <w:rPr>
                <w:sz w:val="16"/>
                <w:szCs w:val="16"/>
              </w:rPr>
              <w:t>Statement advising publication of information</w:t>
            </w:r>
          </w:p>
        </w:tc>
        <w:tc>
          <w:tcPr>
            <w:tcW w:w="2284" w:type="dxa"/>
            <w:tcBorders>
              <w:top w:val="nil"/>
              <w:left w:val="nil"/>
              <w:bottom w:val="nil"/>
              <w:right w:val="nil"/>
            </w:tcBorders>
          </w:tcPr>
          <w:p w14:paraId="5C98EC0D" w14:textId="21010251" w:rsidR="00AE6ABE" w:rsidRPr="00DD1045" w:rsidRDefault="00AE6ABE" w:rsidP="00AE6ABE">
            <w:pPr>
              <w:spacing w:before="60" w:after="60"/>
              <w:rPr>
                <w:sz w:val="16"/>
                <w:szCs w:val="16"/>
              </w:rPr>
            </w:pPr>
            <w:r w:rsidRPr="00DD1045">
              <w:rPr>
                <w:sz w:val="16"/>
                <w:szCs w:val="16"/>
              </w:rPr>
              <w:t>ARRs – section 16</w:t>
            </w:r>
          </w:p>
        </w:tc>
        <w:tc>
          <w:tcPr>
            <w:tcW w:w="1672" w:type="dxa"/>
            <w:tcBorders>
              <w:top w:val="nil"/>
              <w:left w:val="nil"/>
              <w:bottom w:val="nil"/>
              <w:right w:val="nil"/>
            </w:tcBorders>
          </w:tcPr>
          <w:p w14:paraId="71A49B37" w14:textId="6CA53A71" w:rsidR="00AE6ABE" w:rsidRPr="00DD1045" w:rsidRDefault="2CB9963E" w:rsidP="004C1FB9">
            <w:pPr>
              <w:rPr>
                <w:sz w:val="16"/>
                <w:szCs w:val="16"/>
              </w:rPr>
            </w:pPr>
            <w:r w:rsidRPr="7DDED802">
              <w:rPr>
                <w:sz w:val="16"/>
                <w:szCs w:val="16"/>
              </w:rPr>
              <w:t>Open Data</w:t>
            </w:r>
          </w:p>
        </w:tc>
      </w:tr>
      <w:tr w:rsidR="00AE6ABE" w:rsidRPr="00DD1045" w14:paraId="4105EFEB" w14:textId="77777777" w:rsidTr="00DA3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560" w:type="dxa"/>
            <w:vMerge/>
            <w:tcBorders>
              <w:top w:val="nil"/>
              <w:left w:val="nil"/>
              <w:bottom w:val="nil"/>
              <w:right w:val="nil"/>
            </w:tcBorders>
          </w:tcPr>
          <w:p w14:paraId="7EC314C8" w14:textId="77777777" w:rsidR="00AE6ABE" w:rsidRPr="00DD1045" w:rsidRDefault="00AE6ABE" w:rsidP="00C85103">
            <w:pPr>
              <w:spacing w:before="60" w:after="60"/>
              <w:rPr>
                <w:b/>
                <w:bCs/>
                <w:sz w:val="16"/>
                <w:szCs w:val="16"/>
              </w:rPr>
            </w:pPr>
          </w:p>
        </w:tc>
        <w:tc>
          <w:tcPr>
            <w:tcW w:w="3510" w:type="dxa"/>
            <w:tcBorders>
              <w:top w:val="nil"/>
              <w:left w:val="nil"/>
              <w:bottom w:val="nil"/>
              <w:right w:val="nil"/>
            </w:tcBorders>
          </w:tcPr>
          <w:p w14:paraId="1D0148C6" w14:textId="30604457" w:rsidR="00AE6ABE" w:rsidRPr="00DD1045" w:rsidRDefault="00AE6ABE" w:rsidP="00C85103">
            <w:pPr>
              <w:pStyle w:val="ARDotpoints"/>
              <w:spacing w:before="60"/>
              <w:ind w:left="459"/>
              <w:rPr>
                <w:sz w:val="16"/>
                <w:szCs w:val="16"/>
              </w:rPr>
            </w:pPr>
            <w:r w:rsidRPr="00DD1045">
              <w:rPr>
                <w:sz w:val="16"/>
                <w:szCs w:val="16"/>
              </w:rPr>
              <w:t>Consultancies</w:t>
            </w:r>
          </w:p>
        </w:tc>
        <w:tc>
          <w:tcPr>
            <w:tcW w:w="2284" w:type="dxa"/>
            <w:tcBorders>
              <w:top w:val="nil"/>
              <w:left w:val="nil"/>
              <w:bottom w:val="nil"/>
              <w:right w:val="nil"/>
            </w:tcBorders>
          </w:tcPr>
          <w:p w14:paraId="5551A12E" w14:textId="09F59F03" w:rsidR="00AE6ABE" w:rsidRPr="00DD1045" w:rsidRDefault="00AE6ABE" w:rsidP="00AE6ABE">
            <w:pPr>
              <w:spacing w:before="60" w:after="60"/>
              <w:rPr>
                <w:sz w:val="16"/>
                <w:szCs w:val="16"/>
              </w:rPr>
            </w:pPr>
            <w:r w:rsidRPr="00DD1045">
              <w:rPr>
                <w:sz w:val="16"/>
                <w:szCs w:val="16"/>
              </w:rPr>
              <w:t>ARRs – sections 16 and 31.1</w:t>
            </w:r>
          </w:p>
        </w:tc>
        <w:tc>
          <w:tcPr>
            <w:tcW w:w="1672" w:type="dxa"/>
            <w:tcBorders>
              <w:top w:val="nil"/>
              <w:left w:val="nil"/>
              <w:bottom w:val="nil"/>
              <w:right w:val="nil"/>
            </w:tcBorders>
          </w:tcPr>
          <w:p w14:paraId="37A145F7" w14:textId="741BA6F9" w:rsidR="00AE6ABE" w:rsidRPr="00DD1045" w:rsidRDefault="618AA881" w:rsidP="1571D5AE">
            <w:pPr>
              <w:rPr>
                <w:rFonts w:eastAsia="Source Sans Pro" w:cs="Source Sans Pro"/>
                <w:sz w:val="16"/>
                <w:szCs w:val="16"/>
              </w:rPr>
            </w:pPr>
            <w:r w:rsidRPr="1571D5AE">
              <w:rPr>
                <w:rFonts w:ascii="Arial" w:eastAsia="Arial" w:hAnsi="Arial" w:cs="Arial"/>
                <w:color w:val="0000FF"/>
                <w:sz w:val="12"/>
                <w:szCs w:val="12"/>
                <w:u w:val="single"/>
              </w:rPr>
              <w:t>https://data.qld.gov.au</w:t>
            </w:r>
          </w:p>
        </w:tc>
      </w:tr>
      <w:tr w:rsidR="00AE6ABE" w:rsidRPr="00DD1045" w14:paraId="6F00DDF6" w14:textId="77777777" w:rsidTr="00DA3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vMerge/>
            <w:tcBorders>
              <w:top w:val="nil"/>
              <w:left w:val="nil"/>
              <w:bottom w:val="nil"/>
              <w:right w:val="nil"/>
            </w:tcBorders>
          </w:tcPr>
          <w:p w14:paraId="080522A4" w14:textId="77777777" w:rsidR="00AE6ABE" w:rsidRPr="00DD1045" w:rsidRDefault="00AE6ABE" w:rsidP="00C85103">
            <w:pPr>
              <w:spacing w:before="60" w:after="60"/>
              <w:rPr>
                <w:b/>
                <w:bCs/>
                <w:sz w:val="16"/>
                <w:szCs w:val="16"/>
              </w:rPr>
            </w:pPr>
          </w:p>
        </w:tc>
        <w:tc>
          <w:tcPr>
            <w:tcW w:w="3510" w:type="dxa"/>
            <w:tcBorders>
              <w:top w:val="nil"/>
              <w:left w:val="nil"/>
              <w:bottom w:val="nil"/>
              <w:right w:val="nil"/>
            </w:tcBorders>
          </w:tcPr>
          <w:p w14:paraId="480EB1B0" w14:textId="2134B0E2" w:rsidR="00AE6ABE" w:rsidRPr="00DD1045" w:rsidRDefault="00AE6ABE" w:rsidP="00C85103">
            <w:pPr>
              <w:pStyle w:val="ARDotpoints"/>
              <w:spacing w:before="60"/>
              <w:ind w:left="459"/>
              <w:rPr>
                <w:sz w:val="16"/>
                <w:szCs w:val="16"/>
              </w:rPr>
            </w:pPr>
            <w:r w:rsidRPr="00DD1045">
              <w:rPr>
                <w:sz w:val="16"/>
                <w:szCs w:val="16"/>
              </w:rPr>
              <w:t>Overseas travel</w:t>
            </w:r>
          </w:p>
        </w:tc>
        <w:tc>
          <w:tcPr>
            <w:tcW w:w="2284" w:type="dxa"/>
            <w:tcBorders>
              <w:top w:val="nil"/>
              <w:left w:val="nil"/>
              <w:bottom w:val="nil"/>
              <w:right w:val="nil"/>
            </w:tcBorders>
          </w:tcPr>
          <w:p w14:paraId="76C38B0B" w14:textId="7954E8DF" w:rsidR="00AE6ABE" w:rsidRPr="00DD1045" w:rsidRDefault="00AE6ABE" w:rsidP="00AE6ABE">
            <w:pPr>
              <w:spacing w:before="60" w:after="60"/>
              <w:rPr>
                <w:sz w:val="16"/>
                <w:szCs w:val="16"/>
              </w:rPr>
            </w:pPr>
            <w:r w:rsidRPr="00DD1045">
              <w:rPr>
                <w:sz w:val="16"/>
                <w:szCs w:val="16"/>
              </w:rPr>
              <w:t>ARRs – sections 16 and 31.2</w:t>
            </w:r>
          </w:p>
        </w:tc>
        <w:tc>
          <w:tcPr>
            <w:tcW w:w="1672" w:type="dxa"/>
            <w:tcBorders>
              <w:top w:val="nil"/>
              <w:left w:val="nil"/>
              <w:bottom w:val="nil"/>
              <w:right w:val="nil"/>
            </w:tcBorders>
          </w:tcPr>
          <w:p w14:paraId="46BA2A98" w14:textId="40119002" w:rsidR="00AE6ABE" w:rsidRPr="00DD1045" w:rsidRDefault="145249FA" w:rsidP="1571D5AE">
            <w:pPr>
              <w:rPr>
                <w:rFonts w:eastAsia="Source Sans Pro" w:cs="Source Sans Pro"/>
                <w:sz w:val="16"/>
                <w:szCs w:val="16"/>
              </w:rPr>
            </w:pPr>
            <w:r w:rsidRPr="1571D5AE">
              <w:rPr>
                <w:rFonts w:ascii="Arial" w:eastAsia="Arial" w:hAnsi="Arial" w:cs="Arial"/>
                <w:color w:val="0000FF"/>
                <w:sz w:val="12"/>
                <w:szCs w:val="12"/>
                <w:u w:val="single"/>
              </w:rPr>
              <w:t>https://data.qld.gov.au</w:t>
            </w:r>
          </w:p>
        </w:tc>
      </w:tr>
      <w:tr w:rsidR="00AE6ABE" w:rsidRPr="00DD1045" w14:paraId="368E08A9" w14:textId="77777777" w:rsidTr="00DA3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560" w:type="dxa"/>
            <w:vMerge/>
            <w:tcBorders>
              <w:top w:val="nil"/>
              <w:left w:val="nil"/>
              <w:bottom w:val="nil"/>
              <w:right w:val="nil"/>
            </w:tcBorders>
          </w:tcPr>
          <w:p w14:paraId="0F5010EB" w14:textId="707690D7" w:rsidR="00AE6ABE" w:rsidRPr="00DD1045" w:rsidRDefault="00AE6ABE" w:rsidP="00C85103">
            <w:pPr>
              <w:spacing w:before="60" w:after="60"/>
              <w:rPr>
                <w:b/>
                <w:bCs/>
                <w:sz w:val="16"/>
                <w:szCs w:val="16"/>
              </w:rPr>
            </w:pPr>
          </w:p>
        </w:tc>
        <w:tc>
          <w:tcPr>
            <w:tcW w:w="3510" w:type="dxa"/>
            <w:tcBorders>
              <w:top w:val="nil"/>
              <w:left w:val="nil"/>
              <w:bottom w:val="nil"/>
              <w:right w:val="nil"/>
            </w:tcBorders>
          </w:tcPr>
          <w:p w14:paraId="0DA5C63D" w14:textId="5343AFF8" w:rsidR="00AE6ABE" w:rsidRPr="00DD1045" w:rsidRDefault="00AE6ABE" w:rsidP="00C85103">
            <w:pPr>
              <w:pStyle w:val="ARDotpoints"/>
              <w:spacing w:before="60"/>
              <w:ind w:left="459"/>
              <w:rPr>
                <w:sz w:val="16"/>
                <w:szCs w:val="16"/>
              </w:rPr>
            </w:pPr>
            <w:r w:rsidRPr="00DD1045">
              <w:rPr>
                <w:sz w:val="16"/>
                <w:szCs w:val="16"/>
              </w:rPr>
              <w:t>Queensland Language Service Policy</w:t>
            </w:r>
          </w:p>
        </w:tc>
        <w:tc>
          <w:tcPr>
            <w:tcW w:w="2284" w:type="dxa"/>
            <w:tcBorders>
              <w:top w:val="nil"/>
              <w:left w:val="nil"/>
              <w:bottom w:val="nil"/>
              <w:right w:val="nil"/>
            </w:tcBorders>
          </w:tcPr>
          <w:p w14:paraId="2BB2D4D9" w14:textId="72F7F961" w:rsidR="00AE6ABE" w:rsidRPr="00DD1045" w:rsidRDefault="00AE6ABE" w:rsidP="00AE6ABE">
            <w:pPr>
              <w:spacing w:before="60" w:after="60"/>
              <w:rPr>
                <w:sz w:val="16"/>
                <w:szCs w:val="16"/>
              </w:rPr>
            </w:pPr>
            <w:r w:rsidRPr="00DD1045">
              <w:rPr>
                <w:sz w:val="16"/>
                <w:szCs w:val="16"/>
              </w:rPr>
              <w:t>ARRs – sections 16 and 31.3</w:t>
            </w:r>
          </w:p>
        </w:tc>
        <w:tc>
          <w:tcPr>
            <w:tcW w:w="1672" w:type="dxa"/>
            <w:tcBorders>
              <w:top w:val="nil"/>
              <w:left w:val="nil"/>
              <w:bottom w:val="nil"/>
              <w:right w:val="nil"/>
            </w:tcBorders>
          </w:tcPr>
          <w:p w14:paraId="069C55A3" w14:textId="40CBAAE2" w:rsidR="00AE6ABE" w:rsidRPr="00DD1045" w:rsidRDefault="7BA13040" w:rsidP="1571D5AE">
            <w:pPr>
              <w:rPr>
                <w:rFonts w:eastAsia="Source Sans Pro" w:cs="Source Sans Pro"/>
                <w:sz w:val="16"/>
                <w:szCs w:val="16"/>
              </w:rPr>
            </w:pPr>
            <w:r w:rsidRPr="1571D5AE">
              <w:rPr>
                <w:rFonts w:ascii="Arial" w:eastAsia="Arial" w:hAnsi="Arial" w:cs="Arial"/>
                <w:color w:val="0000FF"/>
                <w:sz w:val="12"/>
                <w:szCs w:val="12"/>
                <w:u w:val="single"/>
              </w:rPr>
              <w:t>https://data.qld.gov.au</w:t>
            </w:r>
          </w:p>
        </w:tc>
      </w:tr>
      <w:tr w:rsidR="00AE6ABE" w:rsidRPr="00DD1045" w14:paraId="0FF84878" w14:textId="77777777" w:rsidTr="00DA3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560" w:type="dxa"/>
            <w:vMerge w:val="restart"/>
            <w:tcBorders>
              <w:top w:val="nil"/>
              <w:left w:val="nil"/>
              <w:bottom w:val="nil"/>
              <w:right w:val="nil"/>
            </w:tcBorders>
          </w:tcPr>
          <w:p w14:paraId="01EF08F3" w14:textId="49B25F48" w:rsidR="00AE6ABE" w:rsidRPr="00DD1045" w:rsidRDefault="00AE6ABE" w:rsidP="00C85103">
            <w:pPr>
              <w:spacing w:before="60" w:after="60"/>
              <w:rPr>
                <w:b/>
                <w:bCs/>
                <w:sz w:val="16"/>
                <w:szCs w:val="16"/>
              </w:rPr>
            </w:pPr>
            <w:r w:rsidRPr="00DD1045">
              <w:rPr>
                <w:b/>
                <w:bCs/>
                <w:sz w:val="16"/>
                <w:szCs w:val="16"/>
              </w:rPr>
              <w:t>Financial statements</w:t>
            </w:r>
          </w:p>
        </w:tc>
        <w:tc>
          <w:tcPr>
            <w:tcW w:w="3510" w:type="dxa"/>
            <w:tcBorders>
              <w:top w:val="nil"/>
              <w:left w:val="nil"/>
              <w:bottom w:val="nil"/>
              <w:right w:val="nil"/>
            </w:tcBorders>
          </w:tcPr>
          <w:p w14:paraId="4A3705AE" w14:textId="0FCCB892" w:rsidR="00AE6ABE" w:rsidRPr="00DD1045" w:rsidRDefault="00AE6ABE" w:rsidP="00C85103">
            <w:pPr>
              <w:pStyle w:val="ARDotpoints"/>
              <w:spacing w:before="60"/>
              <w:ind w:left="459"/>
              <w:rPr>
                <w:sz w:val="16"/>
                <w:szCs w:val="16"/>
              </w:rPr>
            </w:pPr>
            <w:r w:rsidRPr="00DD1045">
              <w:rPr>
                <w:sz w:val="16"/>
                <w:szCs w:val="16"/>
              </w:rPr>
              <w:t>Certification of financial statements</w:t>
            </w:r>
          </w:p>
        </w:tc>
        <w:tc>
          <w:tcPr>
            <w:tcW w:w="2284" w:type="dxa"/>
            <w:tcBorders>
              <w:top w:val="nil"/>
              <w:left w:val="nil"/>
              <w:bottom w:val="nil"/>
              <w:right w:val="nil"/>
            </w:tcBorders>
          </w:tcPr>
          <w:p w14:paraId="382AA99C" w14:textId="77777777" w:rsidR="00AE6ABE" w:rsidRPr="00DD1045" w:rsidRDefault="00AE6ABE" w:rsidP="00AE6ABE">
            <w:pPr>
              <w:spacing w:before="60" w:after="60"/>
              <w:rPr>
                <w:sz w:val="16"/>
                <w:szCs w:val="16"/>
              </w:rPr>
            </w:pPr>
            <w:r w:rsidRPr="00DD1045">
              <w:rPr>
                <w:sz w:val="16"/>
                <w:szCs w:val="16"/>
              </w:rPr>
              <w:t>FAA – section 62</w:t>
            </w:r>
          </w:p>
          <w:p w14:paraId="54EB2008" w14:textId="77777777" w:rsidR="00AE6ABE" w:rsidRPr="00DD1045" w:rsidRDefault="00AE6ABE" w:rsidP="00AE6ABE">
            <w:pPr>
              <w:spacing w:before="60" w:after="60"/>
              <w:rPr>
                <w:sz w:val="16"/>
                <w:szCs w:val="16"/>
              </w:rPr>
            </w:pPr>
            <w:r w:rsidRPr="00DD1045">
              <w:rPr>
                <w:sz w:val="16"/>
                <w:szCs w:val="16"/>
              </w:rPr>
              <w:t>FPMS – sections 38. 39 and 46</w:t>
            </w:r>
          </w:p>
          <w:p w14:paraId="3BE1AEEB" w14:textId="6C458C15" w:rsidR="00AE6ABE" w:rsidRPr="00DD1045" w:rsidRDefault="00AE6ABE" w:rsidP="00AE6ABE">
            <w:pPr>
              <w:spacing w:before="60" w:after="60"/>
              <w:rPr>
                <w:sz w:val="16"/>
                <w:szCs w:val="16"/>
              </w:rPr>
            </w:pPr>
            <w:r w:rsidRPr="00DD1045">
              <w:rPr>
                <w:sz w:val="16"/>
                <w:szCs w:val="16"/>
              </w:rPr>
              <w:t>ARRs – section 17.1</w:t>
            </w:r>
          </w:p>
        </w:tc>
        <w:tc>
          <w:tcPr>
            <w:tcW w:w="1672" w:type="dxa"/>
            <w:tcBorders>
              <w:top w:val="nil"/>
              <w:left w:val="nil"/>
              <w:bottom w:val="nil"/>
              <w:right w:val="nil"/>
            </w:tcBorders>
          </w:tcPr>
          <w:p w14:paraId="46B82D1C" w14:textId="744F0574" w:rsidR="00AE6ABE" w:rsidRPr="00DD1045" w:rsidRDefault="32664699" w:rsidP="329C65DB">
            <w:pPr>
              <w:rPr>
                <w:sz w:val="16"/>
                <w:szCs w:val="16"/>
              </w:rPr>
            </w:pPr>
            <w:r w:rsidRPr="329C65DB">
              <w:rPr>
                <w:sz w:val="16"/>
                <w:szCs w:val="16"/>
              </w:rPr>
              <w:t>Consolidated financial statements</w:t>
            </w:r>
          </w:p>
          <w:p w14:paraId="40CB9DDA" w14:textId="29F3B51D" w:rsidR="00AE6ABE" w:rsidRPr="00DD1045" w:rsidRDefault="32664699" w:rsidP="329C65DB">
            <w:pPr>
              <w:rPr>
                <w:sz w:val="16"/>
                <w:szCs w:val="16"/>
              </w:rPr>
            </w:pPr>
            <w:r w:rsidRPr="329C65DB">
              <w:rPr>
                <w:sz w:val="16"/>
                <w:szCs w:val="16"/>
              </w:rPr>
              <w:t>Actuarial certificate on net outstanding claim liabilities</w:t>
            </w:r>
          </w:p>
          <w:p w14:paraId="5C003B85" w14:textId="06382279" w:rsidR="00AE6ABE" w:rsidRPr="00DD1045" w:rsidRDefault="32664699" w:rsidP="004C1FB9">
            <w:pPr>
              <w:rPr>
                <w:sz w:val="16"/>
                <w:szCs w:val="16"/>
              </w:rPr>
            </w:pPr>
            <w:r w:rsidRPr="329C65DB">
              <w:rPr>
                <w:sz w:val="16"/>
                <w:szCs w:val="16"/>
              </w:rPr>
              <w:t>Management certificate</w:t>
            </w:r>
          </w:p>
        </w:tc>
      </w:tr>
      <w:tr w:rsidR="00AE6ABE" w:rsidRPr="00DD1045" w14:paraId="681EC46C" w14:textId="77777777" w:rsidTr="00DA3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560" w:type="dxa"/>
            <w:vMerge/>
            <w:tcBorders>
              <w:top w:val="nil"/>
              <w:left w:val="nil"/>
              <w:bottom w:val="nil"/>
              <w:right w:val="nil"/>
            </w:tcBorders>
          </w:tcPr>
          <w:p w14:paraId="4300CD54" w14:textId="29700667" w:rsidR="00AE6ABE" w:rsidRPr="00DD1045" w:rsidRDefault="00AE6ABE" w:rsidP="00C85103">
            <w:pPr>
              <w:spacing w:before="60" w:after="60"/>
              <w:rPr>
                <w:b/>
                <w:bCs/>
                <w:sz w:val="16"/>
                <w:szCs w:val="16"/>
              </w:rPr>
            </w:pPr>
          </w:p>
        </w:tc>
        <w:tc>
          <w:tcPr>
            <w:tcW w:w="3510" w:type="dxa"/>
            <w:tcBorders>
              <w:top w:val="nil"/>
              <w:left w:val="nil"/>
              <w:bottom w:val="nil"/>
              <w:right w:val="nil"/>
            </w:tcBorders>
          </w:tcPr>
          <w:p w14:paraId="10D1F007" w14:textId="6AFCDDA3" w:rsidR="00AE6ABE" w:rsidRPr="00DD1045" w:rsidRDefault="00AE6ABE" w:rsidP="00C85103">
            <w:pPr>
              <w:pStyle w:val="ARDotpoints"/>
              <w:spacing w:before="60"/>
              <w:ind w:left="459"/>
              <w:rPr>
                <w:sz w:val="16"/>
                <w:szCs w:val="16"/>
              </w:rPr>
            </w:pPr>
            <w:r w:rsidRPr="00DD1045">
              <w:rPr>
                <w:sz w:val="16"/>
                <w:szCs w:val="16"/>
              </w:rPr>
              <w:t>Independent Auditor’s Report</w:t>
            </w:r>
          </w:p>
        </w:tc>
        <w:tc>
          <w:tcPr>
            <w:tcW w:w="2284" w:type="dxa"/>
            <w:tcBorders>
              <w:top w:val="nil"/>
              <w:left w:val="nil"/>
              <w:bottom w:val="nil"/>
              <w:right w:val="nil"/>
            </w:tcBorders>
          </w:tcPr>
          <w:p w14:paraId="06AA7368" w14:textId="77777777" w:rsidR="00AE6ABE" w:rsidRPr="00DD1045" w:rsidRDefault="00AE6ABE" w:rsidP="00AE6ABE">
            <w:pPr>
              <w:spacing w:before="60" w:after="60"/>
              <w:rPr>
                <w:sz w:val="16"/>
                <w:szCs w:val="16"/>
              </w:rPr>
            </w:pPr>
            <w:r w:rsidRPr="00DD1045">
              <w:rPr>
                <w:sz w:val="16"/>
                <w:szCs w:val="16"/>
              </w:rPr>
              <w:t>FAA – section 62</w:t>
            </w:r>
          </w:p>
          <w:p w14:paraId="541A0B16" w14:textId="4E8F803D" w:rsidR="00AE6ABE" w:rsidRPr="00DD1045" w:rsidRDefault="00AE6ABE" w:rsidP="00AE6ABE">
            <w:pPr>
              <w:spacing w:before="60" w:after="60"/>
              <w:rPr>
                <w:sz w:val="16"/>
                <w:szCs w:val="16"/>
              </w:rPr>
            </w:pPr>
            <w:r w:rsidRPr="00DD1045">
              <w:rPr>
                <w:sz w:val="16"/>
                <w:szCs w:val="16"/>
              </w:rPr>
              <w:t>FPMS – section 46</w:t>
            </w:r>
          </w:p>
          <w:p w14:paraId="60F1EE38" w14:textId="560C161E" w:rsidR="00AE6ABE" w:rsidRPr="00DD1045" w:rsidRDefault="00AE6ABE" w:rsidP="00AE6ABE">
            <w:pPr>
              <w:spacing w:before="60" w:after="60"/>
              <w:rPr>
                <w:sz w:val="16"/>
                <w:szCs w:val="16"/>
              </w:rPr>
            </w:pPr>
            <w:r w:rsidRPr="00DD1045">
              <w:rPr>
                <w:sz w:val="16"/>
                <w:szCs w:val="16"/>
              </w:rPr>
              <w:t>ARRs – section 17.2</w:t>
            </w:r>
          </w:p>
        </w:tc>
        <w:tc>
          <w:tcPr>
            <w:tcW w:w="1672" w:type="dxa"/>
            <w:tcBorders>
              <w:top w:val="nil"/>
              <w:left w:val="nil"/>
              <w:bottom w:val="nil"/>
              <w:right w:val="nil"/>
            </w:tcBorders>
          </w:tcPr>
          <w:p w14:paraId="59B5B749" w14:textId="066B9229" w:rsidR="00AE6ABE" w:rsidRPr="00DD1045" w:rsidRDefault="749F94E5" w:rsidP="3AE6048E">
            <w:pPr>
              <w:rPr>
                <w:sz w:val="16"/>
                <w:szCs w:val="16"/>
              </w:rPr>
            </w:pPr>
            <w:r w:rsidRPr="3AE6048E">
              <w:rPr>
                <w:sz w:val="16"/>
                <w:szCs w:val="16"/>
              </w:rPr>
              <w:t>Consolidated financial statements</w:t>
            </w:r>
          </w:p>
          <w:p w14:paraId="3C4CC498" w14:textId="63257A30" w:rsidR="00AE6ABE" w:rsidRPr="00DD1045" w:rsidRDefault="749F94E5" w:rsidP="004C1FB9">
            <w:pPr>
              <w:rPr>
                <w:sz w:val="16"/>
                <w:szCs w:val="16"/>
              </w:rPr>
            </w:pPr>
            <w:r w:rsidRPr="3AE6048E">
              <w:rPr>
                <w:sz w:val="16"/>
                <w:szCs w:val="16"/>
              </w:rPr>
              <w:t>Independent auditor’s report</w:t>
            </w:r>
          </w:p>
        </w:tc>
      </w:tr>
    </w:tbl>
    <w:p w14:paraId="5B7BF42A" w14:textId="0FF9E72D" w:rsidR="002E4A02" w:rsidRPr="00DD1045" w:rsidRDefault="08959988" w:rsidP="7BE1C97F">
      <w:r w:rsidRPr="7BE1C97F">
        <w:rPr>
          <w:rFonts w:ascii="Arial" w:eastAsia="Arial" w:hAnsi="Arial" w:cs="Arial"/>
          <w:sz w:val="16"/>
          <w:szCs w:val="16"/>
        </w:rPr>
        <w:t xml:space="preserve">FAA </w:t>
      </w:r>
      <w:r w:rsidR="002E4A02">
        <w:tab/>
      </w:r>
      <w:r w:rsidRPr="7BE1C97F">
        <w:rPr>
          <w:rFonts w:ascii="Arial" w:eastAsia="Arial" w:hAnsi="Arial" w:cs="Arial"/>
          <w:i/>
          <w:iCs/>
          <w:sz w:val="16"/>
          <w:szCs w:val="16"/>
        </w:rPr>
        <w:t xml:space="preserve">Financial Accountability Act 2009 </w:t>
      </w:r>
    </w:p>
    <w:p w14:paraId="390FC9F5" w14:textId="3F55495E" w:rsidR="002E4A02" w:rsidRPr="00DD1045" w:rsidRDefault="08959988" w:rsidP="7BE1C97F">
      <w:r w:rsidRPr="7BE1C97F">
        <w:rPr>
          <w:rFonts w:ascii="Arial" w:eastAsia="Arial" w:hAnsi="Arial" w:cs="Arial"/>
          <w:sz w:val="16"/>
          <w:szCs w:val="16"/>
        </w:rPr>
        <w:t xml:space="preserve">FPMS </w:t>
      </w:r>
      <w:r w:rsidR="002E4A02">
        <w:tab/>
      </w:r>
      <w:r w:rsidRPr="7BE1C97F">
        <w:rPr>
          <w:rFonts w:ascii="Arial" w:eastAsia="Arial" w:hAnsi="Arial" w:cs="Arial"/>
          <w:i/>
          <w:iCs/>
          <w:sz w:val="16"/>
          <w:szCs w:val="16"/>
        </w:rPr>
        <w:t>Financial and Performance Management Standard 2019</w:t>
      </w:r>
    </w:p>
    <w:p w14:paraId="0FCC93EE" w14:textId="3C2B09C1" w:rsidR="002E4A02" w:rsidRPr="00DD1045" w:rsidRDefault="08959988" w:rsidP="7BE1C97F">
      <w:r w:rsidRPr="7BE1C97F">
        <w:rPr>
          <w:rFonts w:ascii="Arial" w:eastAsia="Arial" w:hAnsi="Arial" w:cs="Arial"/>
          <w:sz w:val="16"/>
          <w:szCs w:val="16"/>
        </w:rPr>
        <w:t>ARRs</w:t>
      </w:r>
      <w:r w:rsidR="002E4A02">
        <w:tab/>
      </w:r>
      <w:r w:rsidRPr="7BE1C97F">
        <w:rPr>
          <w:rFonts w:ascii="Arial" w:eastAsia="Arial" w:hAnsi="Arial" w:cs="Arial"/>
          <w:i/>
          <w:iCs/>
          <w:sz w:val="16"/>
          <w:szCs w:val="16"/>
        </w:rPr>
        <w:t>Annual report requirements for Queensland Government agencies</w:t>
      </w:r>
    </w:p>
    <w:p w14:paraId="57A88031" w14:textId="06A6F14C" w:rsidR="002E4A02" w:rsidRPr="00DD1045" w:rsidRDefault="002E4A02" w:rsidP="002E4A02"/>
    <w:p w14:paraId="58D259C8" w14:textId="29DB7A45" w:rsidR="002E4A02" w:rsidRPr="00DD1045" w:rsidRDefault="002E4A02" w:rsidP="002E4A02">
      <w:pPr>
        <w:pStyle w:val="ARMainTitle"/>
        <w:pBdr>
          <w:bottom w:val="single" w:sz="4" w:space="1" w:color="auto"/>
        </w:pBdr>
      </w:pPr>
      <w:bookmarkStart w:id="138" w:name="_Toc172009759"/>
      <w:r w:rsidRPr="00DD1045">
        <w:lastRenderedPageBreak/>
        <w:t>Glossary</w:t>
      </w:r>
      <w:bookmarkEnd w:id="138"/>
    </w:p>
    <w:p w14:paraId="3C1AD265" w14:textId="77777777" w:rsidR="002B7388" w:rsidRPr="00DD1045" w:rsidRDefault="002B7388" w:rsidP="002E4A02"/>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2320"/>
        <w:gridCol w:w="6706"/>
      </w:tblGrid>
      <w:tr w:rsidR="00EF6DE7" w:rsidRPr="00DD1045" w14:paraId="3CDE9EA1" w14:textId="77777777" w:rsidTr="00E45E97">
        <w:trPr>
          <w:trHeight w:val="567"/>
        </w:trPr>
        <w:tc>
          <w:tcPr>
            <w:tcW w:w="2320" w:type="dxa"/>
            <w:tcBorders>
              <w:left w:val="nil"/>
            </w:tcBorders>
            <w:shd w:val="clear" w:color="auto" w:fill="AEAAAA" w:themeFill="background2" w:themeFillShade="BF"/>
            <w:vAlign w:val="center"/>
          </w:tcPr>
          <w:p w14:paraId="2AE573CA" w14:textId="684C4A1F" w:rsidR="00EF6DE7" w:rsidRPr="00DD1045" w:rsidRDefault="00EF6DE7" w:rsidP="00F9330A">
            <w:pPr>
              <w:rPr>
                <w:color w:val="FFFFFF" w:themeColor="background1"/>
              </w:rPr>
            </w:pPr>
            <w:r w:rsidRPr="00DD1045">
              <w:rPr>
                <w:color w:val="FFFFFF" w:themeColor="background1"/>
              </w:rPr>
              <w:t>Term</w:t>
            </w:r>
          </w:p>
        </w:tc>
        <w:tc>
          <w:tcPr>
            <w:tcW w:w="6706" w:type="dxa"/>
            <w:tcBorders>
              <w:right w:val="nil"/>
            </w:tcBorders>
            <w:shd w:val="clear" w:color="auto" w:fill="AEAAAA" w:themeFill="background2" w:themeFillShade="BF"/>
            <w:vAlign w:val="center"/>
          </w:tcPr>
          <w:p w14:paraId="3F97C7F3" w14:textId="639BCB70" w:rsidR="00EF6DE7" w:rsidRPr="00DD1045" w:rsidRDefault="00EF6DE7" w:rsidP="00F9330A">
            <w:pPr>
              <w:rPr>
                <w:color w:val="FFFFFF" w:themeColor="background1"/>
              </w:rPr>
            </w:pPr>
            <w:r w:rsidRPr="00DD1045">
              <w:rPr>
                <w:color w:val="FFFFFF" w:themeColor="background1"/>
              </w:rPr>
              <w:t>Definition</w:t>
            </w:r>
          </w:p>
        </w:tc>
      </w:tr>
      <w:tr w:rsidR="00EF6DE7" w:rsidRPr="00DD1045" w14:paraId="6EC45128" w14:textId="77777777" w:rsidTr="00E45E97">
        <w:trPr>
          <w:trHeight w:val="567"/>
        </w:trPr>
        <w:tc>
          <w:tcPr>
            <w:tcW w:w="9026" w:type="dxa"/>
            <w:gridSpan w:val="2"/>
            <w:tcBorders>
              <w:left w:val="nil"/>
              <w:right w:val="nil"/>
            </w:tcBorders>
            <w:shd w:val="clear" w:color="auto" w:fill="F2F2F2" w:themeFill="background1" w:themeFillShade="F2"/>
            <w:vAlign w:val="center"/>
          </w:tcPr>
          <w:p w14:paraId="788DB0CB" w14:textId="3759CB8B" w:rsidR="00EF6DE7" w:rsidRPr="00DD1045" w:rsidRDefault="00EF6DE7" w:rsidP="00F9330A">
            <w:pPr>
              <w:rPr>
                <w:b/>
                <w:bCs/>
              </w:rPr>
            </w:pPr>
            <w:r w:rsidRPr="00DD1045">
              <w:rPr>
                <w:b/>
                <w:bCs/>
              </w:rPr>
              <w:t>A</w:t>
            </w:r>
          </w:p>
        </w:tc>
      </w:tr>
      <w:tr w:rsidR="00EF6DE7" w:rsidRPr="00DD1045" w14:paraId="079BC737" w14:textId="77777777" w:rsidTr="00E45E97">
        <w:tc>
          <w:tcPr>
            <w:tcW w:w="2320" w:type="dxa"/>
            <w:tcBorders>
              <w:left w:val="nil"/>
            </w:tcBorders>
          </w:tcPr>
          <w:p w14:paraId="069E99EB" w14:textId="0F4751E1" w:rsidR="00EF6DE7" w:rsidRPr="00DD1045" w:rsidRDefault="00B62CB0" w:rsidP="002E4A02">
            <w:r>
              <w:t>Accident insurance policy</w:t>
            </w:r>
          </w:p>
        </w:tc>
        <w:tc>
          <w:tcPr>
            <w:tcW w:w="6706" w:type="dxa"/>
            <w:tcBorders>
              <w:right w:val="nil"/>
            </w:tcBorders>
          </w:tcPr>
          <w:p w14:paraId="0D8377E8" w14:textId="35142747" w:rsidR="00EF6DE7" w:rsidRPr="00DD1045" w:rsidRDefault="000A3728" w:rsidP="002E4A02">
            <w:r w:rsidRPr="000A3728">
              <w:t>An accident insurance policy is a workers’ compensation insurance policy, compulsory for employers engaging workers. The policy covers the employer’s liability for workers’ compensation and damages arising out of a work</w:t>
            </w:r>
            <w:r w:rsidR="007E07E5">
              <w:t>-</w:t>
            </w:r>
            <w:r w:rsidRPr="000A3728">
              <w:t>related injury sustained by their worker, no matter who or what caused it.</w:t>
            </w:r>
          </w:p>
        </w:tc>
      </w:tr>
      <w:tr w:rsidR="00B62CB0" w:rsidRPr="00DD1045" w14:paraId="66129175" w14:textId="77777777" w:rsidTr="00E45E97">
        <w:tc>
          <w:tcPr>
            <w:tcW w:w="2320" w:type="dxa"/>
            <w:tcBorders>
              <w:left w:val="nil"/>
            </w:tcBorders>
          </w:tcPr>
          <w:p w14:paraId="3DE3B994" w14:textId="1B2F861A" w:rsidR="00B62CB0" w:rsidRPr="00DD1045" w:rsidRDefault="00B62CB0" w:rsidP="002E4A02">
            <w:r>
              <w:t>Allied health provider</w:t>
            </w:r>
          </w:p>
        </w:tc>
        <w:tc>
          <w:tcPr>
            <w:tcW w:w="6706" w:type="dxa"/>
            <w:tcBorders>
              <w:right w:val="nil"/>
            </w:tcBorders>
          </w:tcPr>
          <w:p w14:paraId="64532DD8" w14:textId="6133A017" w:rsidR="00B62CB0" w:rsidRPr="00DD1045" w:rsidRDefault="000A3728" w:rsidP="002E4A02">
            <w:r w:rsidRPr="000A3728">
              <w:t>Any allied health provider (for example a doctor, medical specialist, physiotherapist, chiropractor or occupational therapist) who is registered with the relevant professional board (e.g., Physiotherapist Board of Queensland).</w:t>
            </w:r>
          </w:p>
        </w:tc>
      </w:tr>
      <w:tr w:rsidR="00B62CB0" w:rsidRPr="00DD1045" w14:paraId="0FA75780" w14:textId="77777777" w:rsidTr="00E45E97">
        <w:tc>
          <w:tcPr>
            <w:tcW w:w="2320" w:type="dxa"/>
            <w:tcBorders>
              <w:left w:val="nil"/>
            </w:tcBorders>
          </w:tcPr>
          <w:p w14:paraId="5C4AA0D5" w14:textId="30A41CFD" w:rsidR="00B62CB0" w:rsidRPr="00DD1045" w:rsidRDefault="00B62CB0" w:rsidP="002E4A02">
            <w:r>
              <w:t>AS / ISO</w:t>
            </w:r>
          </w:p>
        </w:tc>
        <w:tc>
          <w:tcPr>
            <w:tcW w:w="6706" w:type="dxa"/>
            <w:tcBorders>
              <w:right w:val="nil"/>
            </w:tcBorders>
          </w:tcPr>
          <w:p w14:paraId="3608EE36" w14:textId="1ACAEC12" w:rsidR="00B62CB0" w:rsidRPr="00DD1045" w:rsidRDefault="000A3728" w:rsidP="002E4A02">
            <w:r w:rsidRPr="000A3728">
              <w:t>Australian Standard/International Organisation for Standardisation</w:t>
            </w:r>
          </w:p>
        </w:tc>
      </w:tr>
      <w:tr w:rsidR="00B62CB0" w:rsidRPr="00DD1045" w14:paraId="03555843" w14:textId="77777777" w:rsidTr="00E45E97">
        <w:tc>
          <w:tcPr>
            <w:tcW w:w="2320" w:type="dxa"/>
            <w:tcBorders>
              <w:left w:val="nil"/>
            </w:tcBorders>
          </w:tcPr>
          <w:p w14:paraId="32EE7E5E" w14:textId="3D55DE15" w:rsidR="00B62CB0" w:rsidRPr="00DD1045" w:rsidRDefault="00B62CB0" w:rsidP="002E4A02">
            <w:r>
              <w:t>Average premium rate</w:t>
            </w:r>
          </w:p>
        </w:tc>
        <w:tc>
          <w:tcPr>
            <w:tcW w:w="6706" w:type="dxa"/>
            <w:tcBorders>
              <w:right w:val="nil"/>
            </w:tcBorders>
          </w:tcPr>
          <w:p w14:paraId="0272A5F5" w14:textId="14916F45" w:rsidR="00B62CB0" w:rsidRPr="00DD1045" w:rsidRDefault="000A3728" w:rsidP="002E4A02">
            <w:r w:rsidRPr="000A3728">
              <w:t>The average premium rate is a rate per $100 of wages, calculated by averaging net premium assessed for the year as a proportion of total wages declared by all employers for that year.</w:t>
            </w:r>
          </w:p>
        </w:tc>
      </w:tr>
      <w:tr w:rsidR="00EF6DE7" w:rsidRPr="00DD1045" w14:paraId="705D2527" w14:textId="77777777" w:rsidTr="00E45E97">
        <w:trPr>
          <w:trHeight w:val="567"/>
        </w:trPr>
        <w:tc>
          <w:tcPr>
            <w:tcW w:w="9026" w:type="dxa"/>
            <w:gridSpan w:val="2"/>
            <w:tcBorders>
              <w:left w:val="nil"/>
              <w:right w:val="nil"/>
            </w:tcBorders>
            <w:shd w:val="clear" w:color="auto" w:fill="F2F2F2" w:themeFill="background1" w:themeFillShade="F2"/>
            <w:vAlign w:val="center"/>
          </w:tcPr>
          <w:p w14:paraId="045FF596" w14:textId="25DC4CC8" w:rsidR="00EF6DE7" w:rsidRPr="00DD1045" w:rsidRDefault="00EF6DE7" w:rsidP="00F9330A">
            <w:pPr>
              <w:rPr>
                <w:b/>
                <w:bCs/>
              </w:rPr>
            </w:pPr>
            <w:r w:rsidRPr="00DD1045">
              <w:rPr>
                <w:b/>
                <w:bCs/>
              </w:rPr>
              <w:t>C</w:t>
            </w:r>
          </w:p>
        </w:tc>
      </w:tr>
      <w:tr w:rsidR="00EF6DE7" w:rsidRPr="00DD1045" w14:paraId="7D17D9B0" w14:textId="77777777" w:rsidTr="00E45E97">
        <w:tc>
          <w:tcPr>
            <w:tcW w:w="2320" w:type="dxa"/>
            <w:tcBorders>
              <w:left w:val="nil"/>
            </w:tcBorders>
          </w:tcPr>
          <w:p w14:paraId="08BD73B8" w14:textId="257D46F5" w:rsidR="00EF6DE7" w:rsidRPr="00DD1045" w:rsidRDefault="00F00BFC" w:rsidP="002E4A02">
            <w:r>
              <w:t xml:space="preserve">CCC </w:t>
            </w:r>
          </w:p>
        </w:tc>
        <w:tc>
          <w:tcPr>
            <w:tcW w:w="6706" w:type="dxa"/>
            <w:tcBorders>
              <w:right w:val="nil"/>
            </w:tcBorders>
          </w:tcPr>
          <w:p w14:paraId="670D1CD4" w14:textId="2BF4BF37" w:rsidR="00EF6DE7" w:rsidRPr="00DD1045" w:rsidRDefault="00F00BFC" w:rsidP="002E4A02">
            <w:r>
              <w:rPr>
                <w:rStyle w:val="normaltextrun"/>
                <w:rFonts w:cs="Segoe UI"/>
              </w:rPr>
              <w:t>Crime and Corruption Commission</w:t>
            </w:r>
            <w:r>
              <w:t xml:space="preserve"> </w:t>
            </w:r>
          </w:p>
        </w:tc>
      </w:tr>
      <w:tr w:rsidR="00EF6DE7" w:rsidRPr="00DD1045" w14:paraId="204D553A" w14:textId="77777777" w:rsidTr="00E45E97">
        <w:tc>
          <w:tcPr>
            <w:tcW w:w="2320" w:type="dxa"/>
            <w:tcBorders>
              <w:left w:val="nil"/>
            </w:tcBorders>
          </w:tcPr>
          <w:p w14:paraId="61A65206" w14:textId="2F4B55F5" w:rsidR="00EF6DE7" w:rsidRPr="00DD1045" w:rsidRDefault="00F00BFC" w:rsidP="002E4A02">
            <w:r>
              <w:t xml:space="preserve"> CEO</w:t>
            </w:r>
          </w:p>
        </w:tc>
        <w:tc>
          <w:tcPr>
            <w:tcW w:w="6706" w:type="dxa"/>
            <w:tcBorders>
              <w:right w:val="nil"/>
            </w:tcBorders>
          </w:tcPr>
          <w:p w14:paraId="44A59B8D" w14:textId="2A666689" w:rsidR="00EF6DE7" w:rsidRPr="00DD1045" w:rsidRDefault="00F00BFC" w:rsidP="002E4A02">
            <w:r>
              <w:t>Chief Executive Officer</w:t>
            </w:r>
          </w:p>
        </w:tc>
      </w:tr>
      <w:tr w:rsidR="003D234F" w:rsidRPr="00DD1045" w14:paraId="1C4D96C6" w14:textId="77777777" w:rsidTr="00E45E97">
        <w:tc>
          <w:tcPr>
            <w:tcW w:w="2320" w:type="dxa"/>
            <w:tcBorders>
              <w:left w:val="nil"/>
            </w:tcBorders>
          </w:tcPr>
          <w:p w14:paraId="53B1EC75" w14:textId="403CF4E6" w:rsidR="003D234F" w:rsidDel="00F00BFC" w:rsidRDefault="003D234F" w:rsidP="002E4A02">
            <w:r w:rsidRPr="003D234F">
              <w:t>Claims experience</w:t>
            </w:r>
          </w:p>
        </w:tc>
        <w:tc>
          <w:tcPr>
            <w:tcW w:w="6706" w:type="dxa"/>
            <w:tcBorders>
              <w:right w:val="nil"/>
            </w:tcBorders>
          </w:tcPr>
          <w:p w14:paraId="6BC91593" w14:textId="56D49479" w:rsidR="003D234F" w:rsidDel="00F00BFC" w:rsidRDefault="003D234F" w:rsidP="002E4A02">
            <w:pPr>
              <w:rPr>
                <w:rStyle w:val="normaltextrun"/>
                <w:rFonts w:cs="Segoe UI"/>
              </w:rPr>
            </w:pPr>
            <w:r w:rsidRPr="003D234F">
              <w:rPr>
                <w:rFonts w:cs="Segoe UI"/>
              </w:rPr>
              <w:t>An employer’s claims experience is used when calculating premium and is comprised of the statutory claims amounts paid under an employer’s accident insurance policy for the preceding three years and the damages claims amounts paid under the policy for one year preceding that.</w:t>
            </w:r>
          </w:p>
        </w:tc>
      </w:tr>
      <w:tr w:rsidR="003D234F" w:rsidRPr="00DD1045" w14:paraId="6DAB449C" w14:textId="77777777" w:rsidTr="00E45E97">
        <w:tc>
          <w:tcPr>
            <w:tcW w:w="2320" w:type="dxa"/>
            <w:tcBorders>
              <w:left w:val="nil"/>
            </w:tcBorders>
          </w:tcPr>
          <w:p w14:paraId="3DF49AF3" w14:textId="13142B75" w:rsidR="003D234F" w:rsidDel="00F00BFC" w:rsidRDefault="003D234F" w:rsidP="002E4A02">
            <w:r w:rsidRPr="003D234F">
              <w:t>Common law claim</w:t>
            </w:r>
          </w:p>
        </w:tc>
        <w:tc>
          <w:tcPr>
            <w:tcW w:w="6706" w:type="dxa"/>
            <w:tcBorders>
              <w:right w:val="nil"/>
            </w:tcBorders>
          </w:tcPr>
          <w:p w14:paraId="6BE93BE2" w14:textId="7C7D8897" w:rsidR="003D234F" w:rsidDel="00F00BFC" w:rsidRDefault="003D234F" w:rsidP="002E4A02">
            <w:pPr>
              <w:rPr>
                <w:rStyle w:val="normaltextrun"/>
                <w:rFonts w:cs="Segoe UI"/>
              </w:rPr>
            </w:pPr>
            <w:r w:rsidRPr="003D234F">
              <w:rPr>
                <w:rFonts w:cs="Segoe UI"/>
              </w:rPr>
              <w:t>A common law claim is the claim made by an injured worker who commences common law action against their employer for negligence (they are ’suing’ their employer). Common law damages can include payments for economic loss, pain and suffering, legal costs, and medical and hospital costs. WorkCover may pay all damages awarded to the injured worker, including legal and investigative costs as part of the employer’s accident insurance policy.</w:t>
            </w:r>
          </w:p>
        </w:tc>
      </w:tr>
      <w:tr w:rsidR="003D234F" w:rsidRPr="00DD1045" w14:paraId="6475B55E" w14:textId="77777777" w:rsidTr="00E45E97">
        <w:tc>
          <w:tcPr>
            <w:tcW w:w="2320" w:type="dxa"/>
            <w:tcBorders>
              <w:left w:val="nil"/>
            </w:tcBorders>
          </w:tcPr>
          <w:p w14:paraId="55A0CF07" w14:textId="315ECB15" w:rsidR="003D234F" w:rsidDel="00F00BFC" w:rsidRDefault="002009DF" w:rsidP="002E4A02">
            <w:r w:rsidRPr="002009DF">
              <w:t>Customer experience measure / metric</w:t>
            </w:r>
          </w:p>
        </w:tc>
        <w:tc>
          <w:tcPr>
            <w:tcW w:w="6706" w:type="dxa"/>
            <w:tcBorders>
              <w:right w:val="nil"/>
            </w:tcBorders>
          </w:tcPr>
          <w:p w14:paraId="153319E9" w14:textId="3FC0A714" w:rsidR="003D234F" w:rsidDel="00F00BFC" w:rsidRDefault="002009DF" w:rsidP="002E4A02">
            <w:pPr>
              <w:rPr>
                <w:rStyle w:val="normaltextrun"/>
                <w:rFonts w:cs="Segoe UI"/>
              </w:rPr>
            </w:pPr>
            <w:r w:rsidRPr="002009DF">
              <w:rPr>
                <w:rFonts w:cs="Segoe UI"/>
              </w:rPr>
              <w:t>Measures customers’ overall perception of WorkCover and performance against the five customer strategy principles.</w:t>
            </w:r>
          </w:p>
        </w:tc>
      </w:tr>
      <w:tr w:rsidR="003D234F" w:rsidRPr="00DD1045" w14:paraId="7154828D" w14:textId="77777777" w:rsidTr="00E45E97">
        <w:tc>
          <w:tcPr>
            <w:tcW w:w="2320" w:type="dxa"/>
            <w:tcBorders>
              <w:left w:val="nil"/>
            </w:tcBorders>
          </w:tcPr>
          <w:p w14:paraId="00403E37" w14:textId="6EAB40C5" w:rsidR="003D234F" w:rsidDel="00F00BFC" w:rsidRDefault="002009DF" w:rsidP="002E4A02">
            <w:r w:rsidRPr="002009DF">
              <w:t>Customer strategy principles</w:t>
            </w:r>
          </w:p>
        </w:tc>
        <w:tc>
          <w:tcPr>
            <w:tcW w:w="6706" w:type="dxa"/>
            <w:tcBorders>
              <w:right w:val="nil"/>
            </w:tcBorders>
          </w:tcPr>
          <w:p w14:paraId="298518B4" w14:textId="77777777" w:rsidR="003D234F" w:rsidRDefault="002009DF" w:rsidP="002E4A02">
            <w:pPr>
              <w:rPr>
                <w:rFonts w:cs="Segoe UI"/>
              </w:rPr>
            </w:pPr>
            <w:r w:rsidRPr="002009DF">
              <w:rPr>
                <w:rFonts w:cs="Segoe UI"/>
              </w:rPr>
              <w:t>These principles are the benchmark for the experience WorkCover wants customers to have across all interactions. There are five principles: easy, fair and transparent, empowered, consistent and valued, and they are based on customer research that identified what customers expect from WorkCover.</w:t>
            </w:r>
          </w:p>
          <w:p w14:paraId="3B9F823F" w14:textId="77777777" w:rsidR="000A3728" w:rsidDel="00F00BFC" w:rsidRDefault="000A3728" w:rsidP="002E4A02">
            <w:pPr>
              <w:rPr>
                <w:rStyle w:val="normaltextrun"/>
                <w:rFonts w:cs="Segoe UI"/>
              </w:rPr>
            </w:pPr>
          </w:p>
        </w:tc>
      </w:tr>
      <w:tr w:rsidR="00EF6DE7" w:rsidRPr="00DD1045" w14:paraId="11B24DE2" w14:textId="77777777" w:rsidTr="00E45E97">
        <w:trPr>
          <w:trHeight w:val="567"/>
        </w:trPr>
        <w:tc>
          <w:tcPr>
            <w:tcW w:w="9026" w:type="dxa"/>
            <w:gridSpan w:val="2"/>
            <w:tcBorders>
              <w:left w:val="nil"/>
              <w:right w:val="nil"/>
            </w:tcBorders>
            <w:shd w:val="clear" w:color="auto" w:fill="F2F2F2" w:themeFill="background1" w:themeFillShade="F2"/>
            <w:vAlign w:val="center"/>
          </w:tcPr>
          <w:p w14:paraId="3DD78FBE" w14:textId="48A121C7" w:rsidR="00EF6DE7" w:rsidRPr="00DD1045" w:rsidRDefault="00EF6DE7" w:rsidP="00F9330A">
            <w:pPr>
              <w:rPr>
                <w:b/>
                <w:bCs/>
              </w:rPr>
            </w:pPr>
            <w:r w:rsidRPr="00DD1045">
              <w:rPr>
                <w:b/>
                <w:bCs/>
              </w:rPr>
              <w:lastRenderedPageBreak/>
              <w:t>D</w:t>
            </w:r>
          </w:p>
        </w:tc>
      </w:tr>
      <w:tr w:rsidR="00BF6F6F" w:rsidRPr="00DD1045" w14:paraId="0C6E665D" w14:textId="77777777" w:rsidTr="00E45E97">
        <w:tc>
          <w:tcPr>
            <w:tcW w:w="2320" w:type="dxa"/>
            <w:tcBorders>
              <w:left w:val="nil"/>
            </w:tcBorders>
          </w:tcPr>
          <w:p w14:paraId="3D817B19" w14:textId="2047023A" w:rsidR="00BF6F6F" w:rsidRDefault="00BF6F6F" w:rsidP="002E4A02">
            <w:r>
              <w:t>Damages</w:t>
            </w:r>
          </w:p>
        </w:tc>
        <w:tc>
          <w:tcPr>
            <w:tcW w:w="6706" w:type="dxa"/>
            <w:tcBorders>
              <w:right w:val="nil"/>
            </w:tcBorders>
          </w:tcPr>
          <w:p w14:paraId="2933E7C5" w14:textId="77777777" w:rsidR="00F00BFC" w:rsidRDefault="00F00BFC" w:rsidP="002E4A02">
            <w:r w:rsidRPr="00F00BFC">
              <w:t xml:space="preserve">Damages are payments made under a common law claim that are classified as ‘heads of damage’. These are different types of damage that may be suffered by an injured worker. Examples are: </w:t>
            </w:r>
          </w:p>
          <w:p w14:paraId="44B27177" w14:textId="4040857D" w:rsidR="00F00BFC" w:rsidRDefault="00F00BFC" w:rsidP="00F00BFC">
            <w:pPr>
              <w:pStyle w:val="ARDotpoints"/>
              <w:ind w:left="584" w:hanging="357"/>
            </w:pPr>
            <w:r w:rsidRPr="00F00BFC">
              <w:t xml:space="preserve">general damages (compensation for pain and suffering) </w:t>
            </w:r>
          </w:p>
          <w:p w14:paraId="2B5C3BC9" w14:textId="3036D11C" w:rsidR="00BF6F6F" w:rsidRDefault="00F00BFC" w:rsidP="00F00BFC">
            <w:pPr>
              <w:pStyle w:val="ARDotpoints"/>
              <w:ind w:left="584" w:hanging="357"/>
            </w:pPr>
            <w:r w:rsidRPr="00F00BFC">
              <w:t>economic loss (compensation for loss of past earnings or future earning capacity).</w:t>
            </w:r>
          </w:p>
        </w:tc>
      </w:tr>
      <w:tr w:rsidR="00EF6DE7" w:rsidRPr="00DD1045" w14:paraId="08D0CCC4" w14:textId="77777777" w:rsidTr="00E45E97">
        <w:tc>
          <w:tcPr>
            <w:tcW w:w="2320" w:type="dxa"/>
            <w:tcBorders>
              <w:left w:val="nil"/>
            </w:tcBorders>
          </w:tcPr>
          <w:p w14:paraId="4749C69D" w14:textId="46E18824" w:rsidR="00EF6DE7" w:rsidRPr="00DD1045" w:rsidRDefault="00FD5F55" w:rsidP="002E4A02">
            <w:r>
              <w:t>DIB</w:t>
            </w:r>
          </w:p>
        </w:tc>
        <w:tc>
          <w:tcPr>
            <w:tcW w:w="6706" w:type="dxa"/>
            <w:tcBorders>
              <w:right w:val="nil"/>
            </w:tcBorders>
          </w:tcPr>
          <w:p w14:paraId="745555FD" w14:textId="4B64E65F" w:rsidR="00EF6DE7" w:rsidRPr="00DD1045" w:rsidRDefault="00FD5F55" w:rsidP="002E4A02">
            <w:r>
              <w:t>Diversity, Inclusion and Belonging</w:t>
            </w:r>
          </w:p>
        </w:tc>
      </w:tr>
      <w:tr w:rsidR="00EF6DE7" w:rsidRPr="00DD1045" w14:paraId="7CA5537E" w14:textId="77777777" w:rsidTr="00E45E97">
        <w:trPr>
          <w:trHeight w:val="567"/>
        </w:trPr>
        <w:tc>
          <w:tcPr>
            <w:tcW w:w="9026" w:type="dxa"/>
            <w:gridSpan w:val="2"/>
            <w:tcBorders>
              <w:left w:val="nil"/>
              <w:right w:val="nil"/>
            </w:tcBorders>
            <w:shd w:val="clear" w:color="auto" w:fill="F2F2F2" w:themeFill="background1" w:themeFillShade="F2"/>
            <w:vAlign w:val="center"/>
          </w:tcPr>
          <w:p w14:paraId="6F5074FF" w14:textId="1BCE7065" w:rsidR="00EF6DE7" w:rsidRPr="00DD1045" w:rsidRDefault="00EF6DE7" w:rsidP="00F9330A">
            <w:pPr>
              <w:rPr>
                <w:b/>
                <w:bCs/>
              </w:rPr>
            </w:pPr>
            <w:r w:rsidRPr="00DD1045">
              <w:rPr>
                <w:b/>
                <w:bCs/>
              </w:rPr>
              <w:t>E</w:t>
            </w:r>
          </w:p>
        </w:tc>
      </w:tr>
      <w:tr w:rsidR="00EF6DE7" w:rsidRPr="00DD1045" w14:paraId="4756E6AE" w14:textId="77777777" w:rsidTr="00E45E97">
        <w:tc>
          <w:tcPr>
            <w:tcW w:w="2320" w:type="dxa"/>
            <w:tcBorders>
              <w:left w:val="nil"/>
            </w:tcBorders>
          </w:tcPr>
          <w:p w14:paraId="12A78FC5" w14:textId="4428560A" w:rsidR="00EF6DE7" w:rsidRPr="00DD1045" w:rsidRDefault="00DA0D0F" w:rsidP="002E4A02">
            <w:r>
              <w:t>ELT</w:t>
            </w:r>
          </w:p>
        </w:tc>
        <w:tc>
          <w:tcPr>
            <w:tcW w:w="6706" w:type="dxa"/>
            <w:tcBorders>
              <w:right w:val="nil"/>
            </w:tcBorders>
          </w:tcPr>
          <w:p w14:paraId="41432107" w14:textId="2CAD3985" w:rsidR="00EF6DE7" w:rsidRPr="00DD1045" w:rsidRDefault="00DA0D0F" w:rsidP="002E4A02">
            <w:r>
              <w:t>Executive Leadership Team</w:t>
            </w:r>
          </w:p>
        </w:tc>
      </w:tr>
      <w:tr w:rsidR="00EF6DE7" w:rsidRPr="00DD1045" w14:paraId="03D1C9A8" w14:textId="77777777" w:rsidTr="00E45E97">
        <w:trPr>
          <w:trHeight w:val="567"/>
        </w:trPr>
        <w:tc>
          <w:tcPr>
            <w:tcW w:w="9026" w:type="dxa"/>
            <w:gridSpan w:val="2"/>
            <w:tcBorders>
              <w:left w:val="nil"/>
              <w:right w:val="nil"/>
            </w:tcBorders>
            <w:shd w:val="clear" w:color="auto" w:fill="F2F2F2" w:themeFill="background1" w:themeFillShade="F2"/>
            <w:vAlign w:val="center"/>
          </w:tcPr>
          <w:p w14:paraId="5301B6E1" w14:textId="00DF557C" w:rsidR="00EF6DE7" w:rsidRPr="00DD1045" w:rsidRDefault="00EF6DE7" w:rsidP="00F9330A">
            <w:pPr>
              <w:rPr>
                <w:b/>
                <w:bCs/>
              </w:rPr>
            </w:pPr>
            <w:r w:rsidRPr="00DD1045">
              <w:rPr>
                <w:b/>
                <w:bCs/>
              </w:rPr>
              <w:t>F</w:t>
            </w:r>
          </w:p>
        </w:tc>
      </w:tr>
      <w:tr w:rsidR="00EF6DE7" w:rsidRPr="00DD1045" w14:paraId="39072476" w14:textId="77777777" w:rsidTr="00E45E97">
        <w:tc>
          <w:tcPr>
            <w:tcW w:w="2320" w:type="dxa"/>
            <w:tcBorders>
              <w:left w:val="nil"/>
            </w:tcBorders>
          </w:tcPr>
          <w:p w14:paraId="5D2A500D" w14:textId="132364C1" w:rsidR="00EF6DE7" w:rsidRPr="00DD1045" w:rsidRDefault="00A867C8" w:rsidP="002E4A02">
            <w:r>
              <w:t>FMPM</w:t>
            </w:r>
          </w:p>
        </w:tc>
        <w:tc>
          <w:tcPr>
            <w:tcW w:w="6706" w:type="dxa"/>
            <w:tcBorders>
              <w:right w:val="nil"/>
            </w:tcBorders>
          </w:tcPr>
          <w:p w14:paraId="3B4DF6F0" w14:textId="68252CEE" w:rsidR="00EF6DE7" w:rsidRPr="00DD1045" w:rsidRDefault="00B65DA1" w:rsidP="002E4A02">
            <w:r>
              <w:t>Financial Management Practice Manual</w:t>
            </w:r>
          </w:p>
        </w:tc>
      </w:tr>
      <w:tr w:rsidR="00074523" w:rsidRPr="00DD1045" w14:paraId="4B06EA6C" w14:textId="77777777" w:rsidTr="00074523">
        <w:tc>
          <w:tcPr>
            <w:tcW w:w="9026" w:type="dxa"/>
            <w:gridSpan w:val="2"/>
            <w:tcBorders>
              <w:left w:val="nil"/>
            </w:tcBorders>
            <w:shd w:val="clear" w:color="auto" w:fill="F2F2F2" w:themeFill="background1" w:themeFillShade="F2"/>
          </w:tcPr>
          <w:p w14:paraId="42D39BA5" w14:textId="0504B1ED" w:rsidR="00074523" w:rsidRDefault="00074523" w:rsidP="002E4A02">
            <w:r>
              <w:rPr>
                <w:b/>
                <w:bCs/>
              </w:rPr>
              <w:t>H</w:t>
            </w:r>
          </w:p>
        </w:tc>
      </w:tr>
      <w:tr w:rsidR="00074523" w:rsidRPr="00DD1045" w14:paraId="138DA3B7" w14:textId="77777777" w:rsidTr="00E45E97">
        <w:tc>
          <w:tcPr>
            <w:tcW w:w="2320" w:type="dxa"/>
            <w:tcBorders>
              <w:left w:val="nil"/>
            </w:tcBorders>
          </w:tcPr>
          <w:p w14:paraId="1FC45A62" w14:textId="7DCCFF08" w:rsidR="00074523" w:rsidRDefault="00074523" w:rsidP="002E4A02">
            <w:r>
              <w:t>HRA</w:t>
            </w:r>
          </w:p>
        </w:tc>
        <w:tc>
          <w:tcPr>
            <w:tcW w:w="6706" w:type="dxa"/>
            <w:tcBorders>
              <w:right w:val="nil"/>
            </w:tcBorders>
          </w:tcPr>
          <w:p w14:paraId="4ACC1D52" w14:textId="4BFEBC05" w:rsidR="00074523" w:rsidRPr="009842D8" w:rsidRDefault="00074523" w:rsidP="002E4A02">
            <w:pPr>
              <w:rPr>
                <w:i/>
                <w:iCs/>
              </w:rPr>
            </w:pPr>
            <w:r w:rsidRPr="009842D8">
              <w:rPr>
                <w:i/>
                <w:iCs/>
              </w:rPr>
              <w:t>Human Rights Act 2019</w:t>
            </w:r>
          </w:p>
        </w:tc>
      </w:tr>
      <w:tr w:rsidR="00EF6DE7" w:rsidRPr="00DD1045" w14:paraId="3884E1EE" w14:textId="77777777" w:rsidTr="00E45E97">
        <w:trPr>
          <w:trHeight w:val="567"/>
        </w:trPr>
        <w:tc>
          <w:tcPr>
            <w:tcW w:w="9026" w:type="dxa"/>
            <w:gridSpan w:val="2"/>
            <w:tcBorders>
              <w:left w:val="nil"/>
              <w:right w:val="nil"/>
            </w:tcBorders>
            <w:shd w:val="clear" w:color="auto" w:fill="F2F2F2" w:themeFill="background1" w:themeFillShade="F2"/>
            <w:vAlign w:val="center"/>
          </w:tcPr>
          <w:p w14:paraId="43E4B873" w14:textId="4FF7FE2E" w:rsidR="00EF6DE7" w:rsidRPr="00DD1045" w:rsidRDefault="00EF6DE7" w:rsidP="00F9330A">
            <w:pPr>
              <w:rPr>
                <w:b/>
                <w:bCs/>
              </w:rPr>
            </w:pPr>
            <w:r w:rsidRPr="00DD1045">
              <w:rPr>
                <w:b/>
                <w:bCs/>
              </w:rPr>
              <w:t>I</w:t>
            </w:r>
          </w:p>
        </w:tc>
      </w:tr>
      <w:tr w:rsidR="00C37613" w:rsidRPr="00DD1045" w14:paraId="422F5EE8" w14:textId="77777777" w:rsidTr="00E45E97">
        <w:tc>
          <w:tcPr>
            <w:tcW w:w="2320" w:type="dxa"/>
            <w:tcBorders>
              <w:left w:val="nil"/>
            </w:tcBorders>
          </w:tcPr>
          <w:p w14:paraId="04951D5E" w14:textId="3DF680AA" w:rsidR="00C37613" w:rsidRDefault="00C37613" w:rsidP="002E4A02">
            <w:r>
              <w:t>IME</w:t>
            </w:r>
          </w:p>
        </w:tc>
        <w:tc>
          <w:tcPr>
            <w:tcW w:w="6706" w:type="dxa"/>
            <w:tcBorders>
              <w:right w:val="nil"/>
            </w:tcBorders>
          </w:tcPr>
          <w:p w14:paraId="67945FE2" w14:textId="4660A471" w:rsidR="00C37613" w:rsidRPr="00BF6F6F" w:rsidRDefault="00C37613" w:rsidP="002E4A02">
            <w:r>
              <w:t>Independent medical examiners</w:t>
            </w:r>
          </w:p>
        </w:tc>
      </w:tr>
      <w:tr w:rsidR="0078232C" w:rsidRPr="00DD1045" w14:paraId="151EBF89" w14:textId="77777777" w:rsidTr="00E45E97">
        <w:tc>
          <w:tcPr>
            <w:tcW w:w="2320" w:type="dxa"/>
            <w:tcBorders>
              <w:left w:val="nil"/>
            </w:tcBorders>
          </w:tcPr>
          <w:p w14:paraId="0EFF0C4D" w14:textId="6B3F0AAA" w:rsidR="0078232C" w:rsidRDefault="0078232C" w:rsidP="002E4A02">
            <w:r>
              <w:t>Injury</w:t>
            </w:r>
          </w:p>
        </w:tc>
        <w:tc>
          <w:tcPr>
            <w:tcW w:w="6706" w:type="dxa"/>
            <w:tcBorders>
              <w:right w:val="nil"/>
            </w:tcBorders>
          </w:tcPr>
          <w:p w14:paraId="0F472510" w14:textId="77777777" w:rsidR="00BF6F6F" w:rsidRDefault="00BF6F6F" w:rsidP="002E4A02">
            <w:r w:rsidRPr="00BF6F6F">
              <w:t xml:space="preserve">An injury, as defined by the </w:t>
            </w:r>
            <w:r w:rsidRPr="00BF6F6F">
              <w:rPr>
                <w:i/>
                <w:iCs/>
              </w:rPr>
              <w:t>Workers’ Compensation and Rehabilitation Act 2003</w:t>
            </w:r>
            <w:r w:rsidRPr="00BF6F6F">
              <w:t xml:space="preserve"> is, ’A personal injury arising out of, or in the course of, employment if the employment is a significant contributing factor to the injury’. Some examples of injuries include: </w:t>
            </w:r>
          </w:p>
          <w:p w14:paraId="4957DABB" w14:textId="46A1D9DA" w:rsidR="00BF6F6F" w:rsidRDefault="00BF6F6F" w:rsidP="00BF6F6F">
            <w:pPr>
              <w:pStyle w:val="ARDotpoints"/>
              <w:ind w:left="584" w:hanging="357"/>
            </w:pPr>
            <w:r w:rsidRPr="00BF6F6F">
              <w:t xml:space="preserve">a cut or fracture </w:t>
            </w:r>
          </w:p>
          <w:p w14:paraId="33194A79" w14:textId="0535B23A" w:rsidR="00BF6F6F" w:rsidRDefault="00BF6F6F" w:rsidP="00BF6F6F">
            <w:pPr>
              <w:pStyle w:val="ARDotpoints"/>
              <w:ind w:left="584" w:hanging="357"/>
            </w:pPr>
            <w:r w:rsidRPr="00BF6F6F">
              <w:t xml:space="preserve">a disease (example asbestos or Q fever) </w:t>
            </w:r>
          </w:p>
          <w:p w14:paraId="0B0CC177" w14:textId="05FD1640" w:rsidR="00BF6F6F" w:rsidRDefault="00BF6F6F" w:rsidP="00BF6F6F">
            <w:pPr>
              <w:pStyle w:val="ARDotpoints"/>
              <w:ind w:left="584" w:hanging="357"/>
            </w:pPr>
            <w:r w:rsidRPr="00BF6F6F">
              <w:t xml:space="preserve">industrial deafness </w:t>
            </w:r>
          </w:p>
          <w:p w14:paraId="1BB18D09" w14:textId="7AFC5E5B" w:rsidR="00BF6F6F" w:rsidRDefault="00BF6F6F" w:rsidP="00BF6F6F">
            <w:pPr>
              <w:pStyle w:val="ARDotpoints"/>
              <w:ind w:left="584" w:hanging="357"/>
            </w:pPr>
            <w:r w:rsidRPr="00BF6F6F">
              <w:t xml:space="preserve">psychiatric or psychological disorders such as stress or depression </w:t>
            </w:r>
          </w:p>
          <w:p w14:paraId="1DFA4E9C" w14:textId="097030BF" w:rsidR="00BF6F6F" w:rsidRDefault="00BF6F6F" w:rsidP="00BF6F6F">
            <w:pPr>
              <w:pStyle w:val="ARDotpoints"/>
              <w:ind w:left="584" w:hanging="357"/>
            </w:pPr>
            <w:r w:rsidRPr="00BF6F6F">
              <w:t xml:space="preserve">aggravation of a pre-existing condition </w:t>
            </w:r>
          </w:p>
          <w:p w14:paraId="6987ADAD" w14:textId="6AB0B62F" w:rsidR="0078232C" w:rsidRDefault="00BF6F6F" w:rsidP="00BF6F6F">
            <w:pPr>
              <w:pStyle w:val="ARDotpoints"/>
              <w:ind w:left="584" w:hanging="357"/>
            </w:pPr>
            <w:r w:rsidRPr="00BF6F6F">
              <w:t>death from an injury, disease or aggravation of a disease.</w:t>
            </w:r>
          </w:p>
        </w:tc>
      </w:tr>
      <w:tr w:rsidR="00EF6DE7" w:rsidRPr="00DD1045" w14:paraId="4FFF32DF" w14:textId="77777777" w:rsidTr="00E45E97">
        <w:tc>
          <w:tcPr>
            <w:tcW w:w="2320" w:type="dxa"/>
            <w:tcBorders>
              <w:left w:val="nil"/>
            </w:tcBorders>
          </w:tcPr>
          <w:p w14:paraId="0922700F" w14:textId="1C1779C2" w:rsidR="00EF6DE7" w:rsidRPr="00DD1045" w:rsidRDefault="00531F22" w:rsidP="002E4A02">
            <w:r>
              <w:t>I</w:t>
            </w:r>
            <w:r w:rsidR="00B0453F">
              <w:t>PaM</w:t>
            </w:r>
          </w:p>
        </w:tc>
        <w:tc>
          <w:tcPr>
            <w:tcW w:w="6706" w:type="dxa"/>
            <w:tcBorders>
              <w:right w:val="nil"/>
            </w:tcBorders>
          </w:tcPr>
          <w:p w14:paraId="0931A121" w14:textId="0CE45713" w:rsidR="00EF6DE7" w:rsidRPr="00DD1045" w:rsidRDefault="00B14DB0" w:rsidP="002E4A02">
            <w:r>
              <w:t>Injury Prevention and Management</w:t>
            </w:r>
            <w:r w:rsidR="00F07C94">
              <w:t xml:space="preserve">—WorkCover’s </w:t>
            </w:r>
            <w:r w:rsidR="00576F52">
              <w:t>program in partnership with Workplace Health and Safety Queensland</w:t>
            </w:r>
            <w:r w:rsidR="00BD79CE">
              <w:t xml:space="preserve"> which helps employers who have a high frequency of claims</w:t>
            </w:r>
            <w:r w:rsidR="00D04CAE">
              <w:t xml:space="preserve"> bring about a workplace culture change and achieve</w:t>
            </w:r>
            <w:r w:rsidR="001856B9">
              <w:t xml:space="preserve"> a better standard of workplace health and safety and injury management.</w:t>
            </w:r>
          </w:p>
        </w:tc>
      </w:tr>
      <w:tr w:rsidR="00EF6DE7" w:rsidRPr="00DD1045" w14:paraId="5D3B7DAF" w14:textId="77777777" w:rsidTr="00E45E97">
        <w:tc>
          <w:tcPr>
            <w:tcW w:w="2320" w:type="dxa"/>
            <w:tcBorders>
              <w:left w:val="nil"/>
            </w:tcBorders>
          </w:tcPr>
          <w:p w14:paraId="07737C55" w14:textId="7EE357FF" w:rsidR="00EF6DE7" w:rsidRPr="00DD1045" w:rsidRDefault="00531F22" w:rsidP="002E4A02">
            <w:r>
              <w:t>I</w:t>
            </w:r>
            <w:r w:rsidR="00B0453F">
              <w:t>RRI</w:t>
            </w:r>
          </w:p>
        </w:tc>
        <w:tc>
          <w:tcPr>
            <w:tcW w:w="6706" w:type="dxa"/>
            <w:tcBorders>
              <w:right w:val="nil"/>
            </w:tcBorders>
          </w:tcPr>
          <w:p w14:paraId="747590A8" w14:textId="54040893" w:rsidR="00EF6DE7" w:rsidRPr="00DD1045" w:rsidRDefault="007538C2" w:rsidP="002E4A02">
            <w:r>
              <w:t xml:space="preserve">Injury Risk Reduction Initiatives </w:t>
            </w:r>
          </w:p>
        </w:tc>
      </w:tr>
      <w:tr w:rsidR="00EF6DE7" w:rsidRPr="00DD1045" w14:paraId="1E152722" w14:textId="77777777" w:rsidTr="00E45E97">
        <w:trPr>
          <w:trHeight w:val="567"/>
        </w:trPr>
        <w:tc>
          <w:tcPr>
            <w:tcW w:w="9026" w:type="dxa"/>
            <w:gridSpan w:val="2"/>
            <w:tcBorders>
              <w:left w:val="nil"/>
              <w:right w:val="nil"/>
            </w:tcBorders>
            <w:shd w:val="clear" w:color="auto" w:fill="F2F2F2" w:themeFill="background1" w:themeFillShade="F2"/>
            <w:vAlign w:val="center"/>
          </w:tcPr>
          <w:p w14:paraId="302532A8" w14:textId="3BC3CF0F" w:rsidR="00EF6DE7" w:rsidRPr="00DD1045" w:rsidRDefault="00EF6DE7" w:rsidP="00F9330A">
            <w:pPr>
              <w:rPr>
                <w:b/>
                <w:bCs/>
              </w:rPr>
            </w:pPr>
            <w:r w:rsidRPr="00DD1045">
              <w:rPr>
                <w:b/>
                <w:bCs/>
              </w:rPr>
              <w:t>N</w:t>
            </w:r>
          </w:p>
        </w:tc>
      </w:tr>
      <w:tr w:rsidR="00EF6DE7" w:rsidRPr="00DD1045" w14:paraId="5987BD5B" w14:textId="77777777" w:rsidTr="00E45E97">
        <w:tc>
          <w:tcPr>
            <w:tcW w:w="2320" w:type="dxa"/>
            <w:tcBorders>
              <w:left w:val="nil"/>
            </w:tcBorders>
          </w:tcPr>
          <w:p w14:paraId="09D1AD9A" w14:textId="62208603" w:rsidR="00EF6DE7" w:rsidRPr="00DD1045" w:rsidRDefault="00F267D7" w:rsidP="002E4A02">
            <w:r>
              <w:t>NIISQ</w:t>
            </w:r>
          </w:p>
        </w:tc>
        <w:tc>
          <w:tcPr>
            <w:tcW w:w="6706" w:type="dxa"/>
            <w:tcBorders>
              <w:right w:val="nil"/>
            </w:tcBorders>
          </w:tcPr>
          <w:p w14:paraId="4BFD8FF0" w14:textId="26952CE5" w:rsidR="00EF6DE7" w:rsidRPr="00DD1045" w:rsidRDefault="00A72648" w:rsidP="002E4A02">
            <w:r>
              <w:t>National Injury Insurance Scheme Queensland</w:t>
            </w:r>
          </w:p>
        </w:tc>
      </w:tr>
      <w:tr w:rsidR="00EF6DE7" w:rsidRPr="00DD1045" w14:paraId="33C82551" w14:textId="77777777" w:rsidTr="00E45E97">
        <w:trPr>
          <w:trHeight w:val="567"/>
        </w:trPr>
        <w:tc>
          <w:tcPr>
            <w:tcW w:w="9026" w:type="dxa"/>
            <w:gridSpan w:val="2"/>
            <w:tcBorders>
              <w:left w:val="nil"/>
              <w:right w:val="nil"/>
            </w:tcBorders>
            <w:shd w:val="clear" w:color="auto" w:fill="F2F2F2" w:themeFill="background1" w:themeFillShade="F2"/>
            <w:vAlign w:val="center"/>
          </w:tcPr>
          <w:p w14:paraId="535660B0" w14:textId="5F3F2A21" w:rsidR="00EF6DE7" w:rsidRPr="00DD1045" w:rsidRDefault="00EF6DE7" w:rsidP="00F9330A">
            <w:pPr>
              <w:rPr>
                <w:b/>
                <w:bCs/>
              </w:rPr>
            </w:pPr>
            <w:r w:rsidRPr="00DD1045">
              <w:rPr>
                <w:b/>
                <w:bCs/>
              </w:rPr>
              <w:lastRenderedPageBreak/>
              <w:t>O</w:t>
            </w:r>
          </w:p>
        </w:tc>
      </w:tr>
      <w:tr w:rsidR="00EF6DE7" w:rsidRPr="00DD1045" w14:paraId="5A5035D3" w14:textId="77777777" w:rsidTr="00E45E97">
        <w:tc>
          <w:tcPr>
            <w:tcW w:w="2320" w:type="dxa"/>
            <w:tcBorders>
              <w:left w:val="nil"/>
            </w:tcBorders>
          </w:tcPr>
          <w:p w14:paraId="3C2673B7" w14:textId="68D608F7" w:rsidR="00EF6DE7" w:rsidRPr="00DD1045" w:rsidRDefault="00E57159" w:rsidP="002E4A02">
            <w:r>
              <w:t>OIR</w:t>
            </w:r>
          </w:p>
        </w:tc>
        <w:tc>
          <w:tcPr>
            <w:tcW w:w="6706" w:type="dxa"/>
            <w:tcBorders>
              <w:right w:val="nil"/>
            </w:tcBorders>
          </w:tcPr>
          <w:p w14:paraId="2A31F9FD" w14:textId="17F601BD" w:rsidR="00EF6DE7" w:rsidRPr="00DD1045" w:rsidRDefault="00E57159" w:rsidP="002E4A02">
            <w:r>
              <w:t xml:space="preserve">Office of Industrial </w:t>
            </w:r>
            <w:r w:rsidR="00602192">
              <w:t>Relations</w:t>
            </w:r>
          </w:p>
        </w:tc>
      </w:tr>
      <w:tr w:rsidR="00EF6DE7" w:rsidRPr="00DD1045" w14:paraId="0696425A" w14:textId="77777777" w:rsidTr="00E45E97">
        <w:trPr>
          <w:trHeight w:val="567"/>
        </w:trPr>
        <w:tc>
          <w:tcPr>
            <w:tcW w:w="9026" w:type="dxa"/>
            <w:gridSpan w:val="2"/>
            <w:tcBorders>
              <w:left w:val="nil"/>
              <w:right w:val="nil"/>
            </w:tcBorders>
            <w:shd w:val="clear" w:color="auto" w:fill="F2F2F2" w:themeFill="background1" w:themeFillShade="F2"/>
            <w:vAlign w:val="center"/>
          </w:tcPr>
          <w:p w14:paraId="32BFE3E3" w14:textId="4B619B5D" w:rsidR="00EF6DE7" w:rsidRPr="00DD1045" w:rsidRDefault="00EF6DE7" w:rsidP="00F9330A">
            <w:pPr>
              <w:rPr>
                <w:b/>
                <w:bCs/>
              </w:rPr>
            </w:pPr>
            <w:r w:rsidRPr="00DD1045">
              <w:rPr>
                <w:b/>
                <w:bCs/>
              </w:rPr>
              <w:t>P</w:t>
            </w:r>
          </w:p>
        </w:tc>
      </w:tr>
      <w:tr w:rsidR="00EF6DE7" w:rsidRPr="00DD1045" w14:paraId="192216E4" w14:textId="77777777" w:rsidTr="00E45E97">
        <w:tc>
          <w:tcPr>
            <w:tcW w:w="2320" w:type="dxa"/>
            <w:tcBorders>
              <w:left w:val="nil"/>
            </w:tcBorders>
          </w:tcPr>
          <w:p w14:paraId="1EA092D3" w14:textId="11990D85" w:rsidR="00EF6DE7" w:rsidRPr="00DD1045" w:rsidRDefault="00A867C8" w:rsidP="002E4A02">
            <w:r>
              <w:t>P</w:t>
            </w:r>
            <w:r w:rsidR="00B0453F">
              <w:t>IEF</w:t>
            </w:r>
          </w:p>
        </w:tc>
        <w:tc>
          <w:tcPr>
            <w:tcW w:w="6706" w:type="dxa"/>
            <w:tcBorders>
              <w:right w:val="nil"/>
            </w:tcBorders>
          </w:tcPr>
          <w:p w14:paraId="112D7D06" w14:textId="27986551" w:rsidR="00EF6DE7" w:rsidRPr="00DD1045" w:rsidRDefault="00E82B42" w:rsidP="002E4A02">
            <w:r>
              <w:t>Personal Injury Education Foundation</w:t>
            </w:r>
          </w:p>
        </w:tc>
      </w:tr>
      <w:tr w:rsidR="00B7711D" w:rsidRPr="00DD1045" w14:paraId="5A6945EE" w14:textId="77777777" w:rsidTr="00E45E97">
        <w:tc>
          <w:tcPr>
            <w:tcW w:w="2320" w:type="dxa"/>
            <w:tcBorders>
              <w:left w:val="nil"/>
            </w:tcBorders>
          </w:tcPr>
          <w:p w14:paraId="64242A52" w14:textId="4CF9F0B7" w:rsidR="00B7711D" w:rsidRDefault="00B7711D" w:rsidP="002E4A02">
            <w:r>
              <w:t>Premium rate</w:t>
            </w:r>
          </w:p>
        </w:tc>
        <w:tc>
          <w:tcPr>
            <w:tcW w:w="6706" w:type="dxa"/>
            <w:tcBorders>
              <w:right w:val="nil"/>
            </w:tcBorders>
          </w:tcPr>
          <w:p w14:paraId="5A787690" w14:textId="3895830E" w:rsidR="00B7711D" w:rsidRDefault="0078232C" w:rsidP="002E4A02">
            <w:r w:rsidRPr="0078232C">
              <w:t>The rate per $100 of wages for an individual employer</w:t>
            </w:r>
          </w:p>
        </w:tc>
      </w:tr>
      <w:tr w:rsidR="00074523" w:rsidRPr="00DD1045" w14:paraId="341472D1" w14:textId="77777777" w:rsidTr="00E45E97">
        <w:tc>
          <w:tcPr>
            <w:tcW w:w="2320" w:type="dxa"/>
            <w:tcBorders>
              <w:left w:val="nil"/>
            </w:tcBorders>
          </w:tcPr>
          <w:p w14:paraId="5AFDC23B" w14:textId="5CF03E00" w:rsidR="00074523" w:rsidRDefault="00074523" w:rsidP="002E4A02">
            <w:r>
              <w:t>PSE</w:t>
            </w:r>
          </w:p>
        </w:tc>
        <w:tc>
          <w:tcPr>
            <w:tcW w:w="6706" w:type="dxa"/>
            <w:tcBorders>
              <w:right w:val="nil"/>
            </w:tcBorders>
          </w:tcPr>
          <w:p w14:paraId="54113B15" w14:textId="2EA3D8D8" w:rsidR="00074523" w:rsidRPr="009842D8" w:rsidRDefault="00074523" w:rsidP="002E4A02">
            <w:pPr>
              <w:rPr>
                <w:i/>
                <w:iCs/>
              </w:rPr>
            </w:pPr>
            <w:r w:rsidRPr="009842D8">
              <w:rPr>
                <w:i/>
                <w:iCs/>
              </w:rPr>
              <w:t>Public Sector Ethics Act 1994</w:t>
            </w:r>
          </w:p>
        </w:tc>
      </w:tr>
      <w:tr w:rsidR="00EF6DE7" w:rsidRPr="00DD1045" w14:paraId="7857FDB6" w14:textId="77777777" w:rsidTr="00E45E97">
        <w:tc>
          <w:tcPr>
            <w:tcW w:w="2320" w:type="dxa"/>
            <w:tcBorders>
              <w:left w:val="nil"/>
            </w:tcBorders>
          </w:tcPr>
          <w:p w14:paraId="696DE647" w14:textId="174D28A6" w:rsidR="00EF6DE7" w:rsidRPr="00DD1045" w:rsidRDefault="00D5246E" w:rsidP="002E4A02">
            <w:r>
              <w:t>P</w:t>
            </w:r>
            <w:r w:rsidR="00B0453F">
              <w:t>TSD</w:t>
            </w:r>
          </w:p>
        </w:tc>
        <w:tc>
          <w:tcPr>
            <w:tcW w:w="6706" w:type="dxa"/>
            <w:tcBorders>
              <w:right w:val="nil"/>
            </w:tcBorders>
          </w:tcPr>
          <w:p w14:paraId="38282D20" w14:textId="0AFAD3E6" w:rsidR="00EF6DE7" w:rsidRPr="00DD1045" w:rsidRDefault="00710717" w:rsidP="002E4A02">
            <w:r>
              <w:t>Post-traumatic stress disorder</w:t>
            </w:r>
          </w:p>
        </w:tc>
      </w:tr>
      <w:tr w:rsidR="00EF6DE7" w:rsidRPr="00DD1045" w14:paraId="3D95501C" w14:textId="77777777" w:rsidTr="00E45E97">
        <w:trPr>
          <w:trHeight w:val="567"/>
        </w:trPr>
        <w:tc>
          <w:tcPr>
            <w:tcW w:w="9026" w:type="dxa"/>
            <w:gridSpan w:val="2"/>
            <w:tcBorders>
              <w:left w:val="nil"/>
              <w:right w:val="nil"/>
            </w:tcBorders>
            <w:shd w:val="clear" w:color="auto" w:fill="F2F2F2" w:themeFill="background1" w:themeFillShade="F2"/>
            <w:vAlign w:val="center"/>
          </w:tcPr>
          <w:p w14:paraId="37A48529" w14:textId="7C028FFE" w:rsidR="00EF6DE7" w:rsidRPr="00DD1045" w:rsidRDefault="00EF6DE7" w:rsidP="00F9330A">
            <w:pPr>
              <w:rPr>
                <w:b/>
                <w:bCs/>
              </w:rPr>
            </w:pPr>
            <w:r w:rsidRPr="00DD1045">
              <w:rPr>
                <w:b/>
                <w:bCs/>
              </w:rPr>
              <w:t>Q</w:t>
            </w:r>
          </w:p>
        </w:tc>
      </w:tr>
      <w:tr w:rsidR="009D75E6" w:rsidRPr="00DD1045" w14:paraId="06FEC3F9" w14:textId="77777777" w:rsidTr="00E45E97">
        <w:tc>
          <w:tcPr>
            <w:tcW w:w="2320" w:type="dxa"/>
            <w:tcBorders>
              <w:left w:val="nil"/>
            </w:tcBorders>
          </w:tcPr>
          <w:p w14:paraId="6B03B08B" w14:textId="0F71C3B8" w:rsidR="009D75E6" w:rsidRDefault="009D75E6" w:rsidP="002E4A02">
            <w:r>
              <w:t>QAO</w:t>
            </w:r>
          </w:p>
        </w:tc>
        <w:tc>
          <w:tcPr>
            <w:tcW w:w="6706" w:type="dxa"/>
            <w:tcBorders>
              <w:right w:val="nil"/>
            </w:tcBorders>
          </w:tcPr>
          <w:p w14:paraId="0798ABAD" w14:textId="45556269" w:rsidR="009D75E6" w:rsidRDefault="009D75E6" w:rsidP="002E4A02">
            <w:r>
              <w:rPr>
                <w:rStyle w:val="normaltextrun"/>
                <w:rFonts w:cs="Segoe UI"/>
              </w:rPr>
              <w:t>Queensland Audit Office</w:t>
            </w:r>
          </w:p>
        </w:tc>
      </w:tr>
      <w:tr w:rsidR="00EF6DE7" w:rsidRPr="00DD1045" w14:paraId="5EEC2495" w14:textId="77777777" w:rsidTr="00E45E97">
        <w:tc>
          <w:tcPr>
            <w:tcW w:w="2320" w:type="dxa"/>
            <w:tcBorders>
              <w:left w:val="nil"/>
            </w:tcBorders>
          </w:tcPr>
          <w:p w14:paraId="48D43B49" w14:textId="61C307C8" w:rsidR="00EF6DE7" w:rsidRPr="00DD1045" w:rsidRDefault="00A867C8" w:rsidP="002E4A02">
            <w:r>
              <w:t>QIC</w:t>
            </w:r>
          </w:p>
        </w:tc>
        <w:tc>
          <w:tcPr>
            <w:tcW w:w="6706" w:type="dxa"/>
            <w:tcBorders>
              <w:right w:val="nil"/>
            </w:tcBorders>
          </w:tcPr>
          <w:p w14:paraId="10F34008" w14:textId="16522F03" w:rsidR="00EF6DE7" w:rsidRPr="00DD1045" w:rsidRDefault="00350653" w:rsidP="002E4A02">
            <w:r>
              <w:t xml:space="preserve">Queensland Investment Corporation </w:t>
            </w:r>
          </w:p>
        </w:tc>
      </w:tr>
      <w:tr w:rsidR="00EF6DE7" w:rsidRPr="00DD1045" w14:paraId="59312FFA" w14:textId="77777777" w:rsidTr="00E45E97">
        <w:tc>
          <w:tcPr>
            <w:tcW w:w="2320" w:type="dxa"/>
            <w:tcBorders>
              <w:left w:val="nil"/>
            </w:tcBorders>
          </w:tcPr>
          <w:p w14:paraId="1A6506A7" w14:textId="4793D776" w:rsidR="00EF6DE7" w:rsidRPr="00DD1045" w:rsidRDefault="00A867C8" w:rsidP="002E4A02">
            <w:r>
              <w:t>QTC</w:t>
            </w:r>
          </w:p>
        </w:tc>
        <w:tc>
          <w:tcPr>
            <w:tcW w:w="6706" w:type="dxa"/>
            <w:tcBorders>
              <w:right w:val="nil"/>
            </w:tcBorders>
          </w:tcPr>
          <w:p w14:paraId="30BCE1DA" w14:textId="7F7E00B7" w:rsidR="00EF6DE7" w:rsidRPr="00DD1045" w:rsidRDefault="00084B48" w:rsidP="002E4A02">
            <w:r>
              <w:t xml:space="preserve">Queensland Treasury Corporation </w:t>
            </w:r>
          </w:p>
        </w:tc>
      </w:tr>
      <w:tr w:rsidR="00EF6DE7" w:rsidRPr="00DD1045" w14:paraId="1F4DB6E3" w14:textId="77777777" w:rsidTr="00E45E97">
        <w:trPr>
          <w:trHeight w:val="567"/>
        </w:trPr>
        <w:tc>
          <w:tcPr>
            <w:tcW w:w="9026" w:type="dxa"/>
            <w:gridSpan w:val="2"/>
            <w:tcBorders>
              <w:left w:val="nil"/>
              <w:right w:val="nil"/>
            </w:tcBorders>
            <w:shd w:val="clear" w:color="auto" w:fill="F2F2F2" w:themeFill="background1" w:themeFillShade="F2"/>
            <w:vAlign w:val="center"/>
          </w:tcPr>
          <w:p w14:paraId="2352171F" w14:textId="52DCAA9E" w:rsidR="00EF6DE7" w:rsidRPr="00DD1045" w:rsidRDefault="00EF6DE7" w:rsidP="00F9330A">
            <w:pPr>
              <w:rPr>
                <w:b/>
                <w:bCs/>
              </w:rPr>
            </w:pPr>
            <w:r w:rsidRPr="00DD1045">
              <w:rPr>
                <w:b/>
                <w:bCs/>
              </w:rPr>
              <w:t>R</w:t>
            </w:r>
          </w:p>
        </w:tc>
      </w:tr>
      <w:tr w:rsidR="00C50E37" w:rsidRPr="00DD1045" w14:paraId="1B1B83AB" w14:textId="77777777" w:rsidTr="00E45E97">
        <w:tc>
          <w:tcPr>
            <w:tcW w:w="2320" w:type="dxa"/>
            <w:tcBorders>
              <w:left w:val="nil"/>
            </w:tcBorders>
          </w:tcPr>
          <w:p w14:paraId="3C81E12D" w14:textId="311A43A4" w:rsidR="00C50E37" w:rsidRDefault="00C50E37" w:rsidP="002E4A02">
            <w:r>
              <w:t>RAC</w:t>
            </w:r>
          </w:p>
        </w:tc>
        <w:tc>
          <w:tcPr>
            <w:tcW w:w="6706" w:type="dxa"/>
            <w:tcBorders>
              <w:right w:val="nil"/>
            </w:tcBorders>
          </w:tcPr>
          <w:p w14:paraId="5DA842E7" w14:textId="210DA129" w:rsidR="00C50E37" w:rsidRPr="00DF503E" w:rsidRDefault="00FF5758" w:rsidP="002E4A02">
            <w:r>
              <w:t>Risk and Audit Committee</w:t>
            </w:r>
          </w:p>
        </w:tc>
      </w:tr>
      <w:tr w:rsidR="005E5A85" w:rsidRPr="00DD1045" w14:paraId="305F6BE1" w14:textId="77777777" w:rsidTr="00E45E97">
        <w:tc>
          <w:tcPr>
            <w:tcW w:w="2320" w:type="dxa"/>
            <w:tcBorders>
              <w:left w:val="nil"/>
            </w:tcBorders>
          </w:tcPr>
          <w:p w14:paraId="182841A4" w14:textId="3315A53C" w:rsidR="005E5A85" w:rsidRDefault="005E5A85" w:rsidP="002E4A02">
            <w:r>
              <w:t>RACGP</w:t>
            </w:r>
          </w:p>
        </w:tc>
        <w:tc>
          <w:tcPr>
            <w:tcW w:w="6706" w:type="dxa"/>
            <w:tcBorders>
              <w:right w:val="nil"/>
            </w:tcBorders>
          </w:tcPr>
          <w:p w14:paraId="5B6AEEFE" w14:textId="285E7EB1" w:rsidR="005E5A85" w:rsidRDefault="005E5A85" w:rsidP="002E4A02">
            <w:r w:rsidRPr="00DF503E">
              <w:t>Royal Australian College of General Practitioners</w:t>
            </w:r>
          </w:p>
        </w:tc>
      </w:tr>
      <w:tr w:rsidR="00A22BD7" w:rsidRPr="00DD1045" w14:paraId="1ED529AB" w14:textId="77777777" w:rsidTr="00E45E97">
        <w:tc>
          <w:tcPr>
            <w:tcW w:w="2320" w:type="dxa"/>
            <w:tcBorders>
              <w:left w:val="nil"/>
            </w:tcBorders>
          </w:tcPr>
          <w:p w14:paraId="7E91514A" w14:textId="0360E3BD" w:rsidR="00A22BD7" w:rsidRDefault="00A22BD7" w:rsidP="002E4A02">
            <w:r>
              <w:t>Rehabilitation</w:t>
            </w:r>
          </w:p>
        </w:tc>
        <w:tc>
          <w:tcPr>
            <w:tcW w:w="6706" w:type="dxa"/>
            <w:tcBorders>
              <w:right w:val="nil"/>
            </w:tcBorders>
          </w:tcPr>
          <w:p w14:paraId="27E888CF" w14:textId="5659BCDF" w:rsidR="00A22BD7" w:rsidRPr="00DF503E" w:rsidRDefault="00B7711D" w:rsidP="002E4A02">
            <w:r w:rsidRPr="00B7711D">
              <w:t>Under workers’ compensation legislation, the purpose of rehabilitation is to ensure the injured worker’s earliest possible safe return to work or to maximise the worker’s independent functioning. Rehabilitation for return to work (sometimes called occupational, vocational or workplace rehabilitation) can include treatment from a range of health providers, assessments of work capacity and suitable duties programs. Under legislation, workers and employers must take every reasonable step to participate in rehabilitation and return to work programs.</w:t>
            </w:r>
          </w:p>
        </w:tc>
      </w:tr>
      <w:tr w:rsidR="00A22BD7" w:rsidRPr="00DD1045" w14:paraId="7576B400" w14:textId="77777777" w:rsidTr="00E45E97">
        <w:tc>
          <w:tcPr>
            <w:tcW w:w="2320" w:type="dxa"/>
            <w:tcBorders>
              <w:left w:val="nil"/>
            </w:tcBorders>
          </w:tcPr>
          <w:p w14:paraId="3F58953B" w14:textId="47AFBFA5" w:rsidR="00A22BD7" w:rsidRDefault="00A22BD7" w:rsidP="002E4A02">
            <w:r>
              <w:t>Return to work</w:t>
            </w:r>
          </w:p>
        </w:tc>
        <w:tc>
          <w:tcPr>
            <w:tcW w:w="6706" w:type="dxa"/>
            <w:tcBorders>
              <w:right w:val="nil"/>
            </w:tcBorders>
          </w:tcPr>
          <w:p w14:paraId="4461C2B0" w14:textId="75DD3A83" w:rsidR="00A22BD7" w:rsidRPr="00DF503E" w:rsidRDefault="00B7711D" w:rsidP="002E4A02">
            <w:r w:rsidRPr="00B7711D">
              <w:t>The worker’s timely, safe and medically structured return to pre-injury duties, or other employment, following a workplace injury.</w:t>
            </w:r>
          </w:p>
        </w:tc>
      </w:tr>
      <w:tr w:rsidR="00EF6DE7" w:rsidRPr="00DD1045" w14:paraId="7087210C" w14:textId="77777777" w:rsidTr="00E45E97">
        <w:tc>
          <w:tcPr>
            <w:tcW w:w="2320" w:type="dxa"/>
            <w:tcBorders>
              <w:left w:val="nil"/>
            </w:tcBorders>
          </w:tcPr>
          <w:p w14:paraId="32698ECF" w14:textId="0AC84D40" w:rsidR="00EF6DE7" w:rsidRPr="00DD1045" w:rsidRDefault="00531F22" w:rsidP="002E4A02">
            <w:r>
              <w:t>RTW</w:t>
            </w:r>
          </w:p>
        </w:tc>
        <w:tc>
          <w:tcPr>
            <w:tcW w:w="6706" w:type="dxa"/>
            <w:tcBorders>
              <w:right w:val="nil"/>
            </w:tcBorders>
          </w:tcPr>
          <w:p w14:paraId="16986C80" w14:textId="6DFEE2B6" w:rsidR="00EF6DE7" w:rsidRPr="00DD1045" w:rsidRDefault="00F54485" w:rsidP="002E4A02">
            <w:r>
              <w:t>Return to work</w:t>
            </w:r>
            <w:r w:rsidR="007A07EC">
              <w:t xml:space="preserve"> </w:t>
            </w:r>
            <w:r w:rsidR="002E6B64">
              <w:t>—</w:t>
            </w:r>
            <w:r w:rsidR="007A07EC">
              <w:t xml:space="preserve"> </w:t>
            </w:r>
            <w:r w:rsidR="002E6B64">
              <w:t>the worker’s timely</w:t>
            </w:r>
            <w:r w:rsidR="007A07EC">
              <w:t>, safe and medically structured return to pre-injury duties, or other employment, following a workplace injury.</w:t>
            </w:r>
          </w:p>
        </w:tc>
      </w:tr>
      <w:tr w:rsidR="00EF6DE7" w:rsidRPr="00DD1045" w14:paraId="0415DF36" w14:textId="77777777" w:rsidTr="00E45E97">
        <w:trPr>
          <w:trHeight w:val="567"/>
        </w:trPr>
        <w:tc>
          <w:tcPr>
            <w:tcW w:w="9026" w:type="dxa"/>
            <w:gridSpan w:val="2"/>
            <w:tcBorders>
              <w:left w:val="nil"/>
              <w:right w:val="nil"/>
            </w:tcBorders>
            <w:shd w:val="clear" w:color="auto" w:fill="F2F2F2" w:themeFill="background1" w:themeFillShade="F2"/>
            <w:vAlign w:val="center"/>
          </w:tcPr>
          <w:p w14:paraId="526B93E7" w14:textId="6DDAC01E" w:rsidR="00EF6DE7" w:rsidRPr="00DD1045" w:rsidRDefault="00EF6DE7" w:rsidP="00F9330A">
            <w:pPr>
              <w:rPr>
                <w:b/>
                <w:bCs/>
              </w:rPr>
            </w:pPr>
            <w:r w:rsidRPr="00DD1045">
              <w:rPr>
                <w:b/>
                <w:bCs/>
              </w:rPr>
              <w:t>S</w:t>
            </w:r>
          </w:p>
        </w:tc>
      </w:tr>
      <w:tr w:rsidR="00EF6DE7" w:rsidRPr="00DD1045" w14:paraId="1173380C" w14:textId="77777777" w:rsidTr="00E45E97">
        <w:tc>
          <w:tcPr>
            <w:tcW w:w="2320" w:type="dxa"/>
            <w:tcBorders>
              <w:left w:val="nil"/>
            </w:tcBorders>
          </w:tcPr>
          <w:p w14:paraId="4652069B" w14:textId="4F38212D" w:rsidR="00EF6DE7" w:rsidRPr="00DD1045" w:rsidRDefault="00E56FCC" w:rsidP="002E4A02">
            <w:r>
              <w:t>Statutory (no-fault) claims</w:t>
            </w:r>
          </w:p>
        </w:tc>
        <w:tc>
          <w:tcPr>
            <w:tcW w:w="6706" w:type="dxa"/>
            <w:tcBorders>
              <w:right w:val="nil"/>
            </w:tcBorders>
          </w:tcPr>
          <w:p w14:paraId="53D4454B" w14:textId="230CCD95" w:rsidR="00EF6DE7" w:rsidRPr="00DD1045" w:rsidRDefault="00A22BD7" w:rsidP="002E4A02">
            <w:r w:rsidRPr="00A22BD7">
              <w:t xml:space="preserve">A statutory or no-fault claim is when a worker is compensated for a work-related injury with payments and benefits prescribed in the </w:t>
            </w:r>
            <w:r w:rsidRPr="00A22BD7">
              <w:rPr>
                <w:i/>
                <w:iCs/>
              </w:rPr>
              <w:t>Workers’ Compensation and Rehabilitation Act 2003</w:t>
            </w:r>
            <w:r w:rsidRPr="00A22BD7">
              <w:t xml:space="preserve">. These payments and benefits are referred to as statutory compensation and may include weekly payments, lump sums to compensate for permanent impairment, and hospital and medical expenses. Statutory claims are </w:t>
            </w:r>
            <w:r w:rsidR="00F656A7">
              <w:t>determin</w:t>
            </w:r>
            <w:r w:rsidR="00F656A7" w:rsidRPr="00A22BD7">
              <w:t xml:space="preserve">ed </w:t>
            </w:r>
            <w:r w:rsidRPr="00A22BD7">
              <w:t>on a ‘no fault’ basis. That is, it doesn’t matter if it is the worker’s or the employer’s fault that the injury occurred, compensation is still paid.</w:t>
            </w:r>
          </w:p>
        </w:tc>
      </w:tr>
      <w:tr w:rsidR="00EF6DE7" w:rsidRPr="00DD1045" w14:paraId="78B4AC3D" w14:textId="77777777" w:rsidTr="00E45E97">
        <w:trPr>
          <w:trHeight w:val="567"/>
        </w:trPr>
        <w:tc>
          <w:tcPr>
            <w:tcW w:w="9026" w:type="dxa"/>
            <w:gridSpan w:val="2"/>
            <w:tcBorders>
              <w:left w:val="nil"/>
              <w:right w:val="nil"/>
            </w:tcBorders>
            <w:shd w:val="clear" w:color="auto" w:fill="F2F2F2" w:themeFill="background1" w:themeFillShade="F2"/>
            <w:vAlign w:val="center"/>
          </w:tcPr>
          <w:p w14:paraId="187918AF" w14:textId="2574AB46" w:rsidR="00EF6DE7" w:rsidRPr="00DD1045" w:rsidRDefault="00EF6DE7" w:rsidP="00F9330A">
            <w:pPr>
              <w:rPr>
                <w:b/>
                <w:bCs/>
              </w:rPr>
            </w:pPr>
            <w:r w:rsidRPr="00DD1045">
              <w:rPr>
                <w:b/>
                <w:bCs/>
              </w:rPr>
              <w:lastRenderedPageBreak/>
              <w:t>T</w:t>
            </w:r>
          </w:p>
        </w:tc>
      </w:tr>
      <w:tr w:rsidR="00F83711" w:rsidRPr="00DD1045" w14:paraId="2EEF54E2" w14:textId="77777777" w:rsidTr="00E45E97">
        <w:tc>
          <w:tcPr>
            <w:tcW w:w="2320" w:type="dxa"/>
            <w:tcBorders>
              <w:left w:val="nil"/>
            </w:tcBorders>
          </w:tcPr>
          <w:p w14:paraId="6BA2460D" w14:textId="6F970A5A" w:rsidR="00F83711" w:rsidRDefault="00F83711" w:rsidP="002E4A02">
            <w:r>
              <w:t>The Act</w:t>
            </w:r>
          </w:p>
        </w:tc>
        <w:tc>
          <w:tcPr>
            <w:tcW w:w="6706" w:type="dxa"/>
            <w:tcBorders>
              <w:right w:val="nil"/>
            </w:tcBorders>
          </w:tcPr>
          <w:p w14:paraId="4B664EF1" w14:textId="54256FF8" w:rsidR="00F83711" w:rsidRPr="009842D8" w:rsidRDefault="00F83711" w:rsidP="002E4A02">
            <w:pPr>
              <w:rPr>
                <w:i/>
                <w:iCs/>
              </w:rPr>
            </w:pPr>
            <w:r w:rsidRPr="009842D8">
              <w:rPr>
                <w:i/>
                <w:iCs/>
              </w:rPr>
              <w:t>Workers</w:t>
            </w:r>
            <w:r w:rsidR="00484D2E" w:rsidRPr="009842D8">
              <w:rPr>
                <w:i/>
                <w:iCs/>
              </w:rPr>
              <w:t>’ Compensation and Rehabilitation Act 2003</w:t>
            </w:r>
          </w:p>
        </w:tc>
      </w:tr>
      <w:tr w:rsidR="00EF6DE7" w:rsidRPr="00DD1045" w14:paraId="1D741567" w14:textId="77777777" w:rsidTr="00E45E97">
        <w:tc>
          <w:tcPr>
            <w:tcW w:w="2320" w:type="dxa"/>
            <w:tcBorders>
              <w:left w:val="nil"/>
            </w:tcBorders>
          </w:tcPr>
          <w:p w14:paraId="51DE18FA" w14:textId="44FE8B85" w:rsidR="00EF6DE7" w:rsidRPr="00DD1045" w:rsidRDefault="00833237" w:rsidP="002E4A02">
            <w:r>
              <w:t>TOCs</w:t>
            </w:r>
          </w:p>
        </w:tc>
        <w:tc>
          <w:tcPr>
            <w:tcW w:w="6706" w:type="dxa"/>
            <w:tcBorders>
              <w:right w:val="nil"/>
            </w:tcBorders>
          </w:tcPr>
          <w:p w14:paraId="5071165F" w14:textId="23DC7F19" w:rsidR="00EF6DE7" w:rsidRPr="00DD1045" w:rsidRDefault="00E56FCC" w:rsidP="002E4A02">
            <w:r>
              <w:t>Table of Costs</w:t>
            </w:r>
          </w:p>
        </w:tc>
      </w:tr>
      <w:tr w:rsidR="00EF6DE7" w:rsidRPr="00DD1045" w14:paraId="10D30BD7" w14:textId="77777777" w:rsidTr="00E45E97">
        <w:trPr>
          <w:trHeight w:val="567"/>
        </w:trPr>
        <w:tc>
          <w:tcPr>
            <w:tcW w:w="9026" w:type="dxa"/>
            <w:gridSpan w:val="2"/>
            <w:tcBorders>
              <w:left w:val="nil"/>
              <w:right w:val="nil"/>
            </w:tcBorders>
            <w:shd w:val="clear" w:color="auto" w:fill="F2F2F2" w:themeFill="background1" w:themeFillShade="F2"/>
            <w:vAlign w:val="center"/>
          </w:tcPr>
          <w:p w14:paraId="70C3564F" w14:textId="2432C841" w:rsidR="00EF6DE7" w:rsidRPr="00DD1045" w:rsidRDefault="00EF6DE7" w:rsidP="00F9330A">
            <w:pPr>
              <w:rPr>
                <w:b/>
                <w:bCs/>
              </w:rPr>
            </w:pPr>
            <w:r w:rsidRPr="00DD1045">
              <w:rPr>
                <w:b/>
                <w:bCs/>
              </w:rPr>
              <w:t>W</w:t>
            </w:r>
          </w:p>
        </w:tc>
      </w:tr>
      <w:tr w:rsidR="00EF6DE7" w:rsidRPr="00DD1045" w14:paraId="250E01EC" w14:textId="77777777" w:rsidTr="00E45E97">
        <w:tc>
          <w:tcPr>
            <w:tcW w:w="2320" w:type="dxa"/>
            <w:tcBorders>
              <w:left w:val="nil"/>
            </w:tcBorders>
          </w:tcPr>
          <w:p w14:paraId="6E81075B" w14:textId="7B684F84" w:rsidR="00EF6DE7" w:rsidRPr="00DD1045" w:rsidRDefault="00A1649F" w:rsidP="002E4A02">
            <w:r>
              <w:t>Wages</w:t>
            </w:r>
          </w:p>
        </w:tc>
        <w:tc>
          <w:tcPr>
            <w:tcW w:w="6706" w:type="dxa"/>
            <w:tcBorders>
              <w:right w:val="nil"/>
            </w:tcBorders>
          </w:tcPr>
          <w:p w14:paraId="6704250B" w14:textId="3D379895" w:rsidR="00EF6DE7" w:rsidRPr="00DD1045" w:rsidRDefault="00AA34A8" w:rsidP="002E4A02">
            <w:r w:rsidRPr="00AA34A8">
              <w:t xml:space="preserve">Wages are the total amount an employer pays to a worker as defined by Schedule 6 of the </w:t>
            </w:r>
            <w:r w:rsidRPr="00AA34A8">
              <w:rPr>
                <w:i/>
                <w:iCs/>
              </w:rPr>
              <w:t>Workers’ Compensation and Rehabilitation Act 2003</w:t>
            </w:r>
            <w:r w:rsidRPr="00AA34A8">
              <w:t>.</w:t>
            </w:r>
          </w:p>
        </w:tc>
      </w:tr>
      <w:tr w:rsidR="00301DC8" w:rsidRPr="00DD1045" w14:paraId="4662369C" w14:textId="77777777" w:rsidTr="00E45E97">
        <w:tc>
          <w:tcPr>
            <w:tcW w:w="2320" w:type="dxa"/>
            <w:tcBorders>
              <w:left w:val="nil"/>
            </w:tcBorders>
          </w:tcPr>
          <w:p w14:paraId="56EA32B1" w14:textId="050AC033" w:rsidR="00301DC8" w:rsidRDefault="00EC4E0A" w:rsidP="002E4A02">
            <w:r>
              <w:t>WCRA</w:t>
            </w:r>
          </w:p>
        </w:tc>
        <w:tc>
          <w:tcPr>
            <w:tcW w:w="6706" w:type="dxa"/>
            <w:tcBorders>
              <w:right w:val="nil"/>
            </w:tcBorders>
          </w:tcPr>
          <w:p w14:paraId="71A79DEB" w14:textId="140B0115" w:rsidR="00301DC8" w:rsidRPr="009842D8" w:rsidRDefault="00EC4E0A" w:rsidP="002E4A02">
            <w:pPr>
              <w:rPr>
                <w:i/>
                <w:iCs/>
              </w:rPr>
            </w:pPr>
            <w:r w:rsidRPr="009842D8">
              <w:rPr>
                <w:i/>
                <w:iCs/>
              </w:rPr>
              <w:t>Workers’ Compensation and Rehabilitation Act 2003</w:t>
            </w:r>
          </w:p>
        </w:tc>
      </w:tr>
      <w:tr w:rsidR="00A1649F" w:rsidRPr="00DD1045" w14:paraId="46CB00F3" w14:textId="77777777" w:rsidTr="00E45E97">
        <w:tc>
          <w:tcPr>
            <w:tcW w:w="2320" w:type="dxa"/>
            <w:tcBorders>
              <w:left w:val="nil"/>
            </w:tcBorders>
          </w:tcPr>
          <w:p w14:paraId="03C0FFD5" w14:textId="3D502B98" w:rsidR="00A1649F" w:rsidRDefault="00A1649F" w:rsidP="002E4A02">
            <w:r>
              <w:t>WCRS</w:t>
            </w:r>
          </w:p>
        </w:tc>
        <w:tc>
          <w:tcPr>
            <w:tcW w:w="6706" w:type="dxa"/>
            <w:tcBorders>
              <w:right w:val="nil"/>
            </w:tcBorders>
          </w:tcPr>
          <w:p w14:paraId="1E232EE6" w14:textId="43694329" w:rsidR="00A1649F" w:rsidRDefault="00A1649F" w:rsidP="002E4A02">
            <w:r>
              <w:t>Workers’ Compensation Regulatory Services</w:t>
            </w:r>
          </w:p>
        </w:tc>
      </w:tr>
      <w:tr w:rsidR="00A1649F" w:rsidRPr="00DD1045" w14:paraId="421E314C" w14:textId="77777777" w:rsidTr="00E45E97">
        <w:tc>
          <w:tcPr>
            <w:tcW w:w="2320" w:type="dxa"/>
            <w:tcBorders>
              <w:left w:val="nil"/>
            </w:tcBorders>
          </w:tcPr>
          <w:p w14:paraId="175950B1" w14:textId="48676CBF" w:rsidR="00A1649F" w:rsidRDefault="00AA34A8" w:rsidP="002E4A02">
            <w:r>
              <w:t>WHSQ</w:t>
            </w:r>
          </w:p>
        </w:tc>
        <w:tc>
          <w:tcPr>
            <w:tcW w:w="6706" w:type="dxa"/>
            <w:tcBorders>
              <w:right w:val="nil"/>
            </w:tcBorders>
          </w:tcPr>
          <w:p w14:paraId="5879577D" w14:textId="06AC2F52" w:rsidR="00A1649F" w:rsidRDefault="00AA34A8" w:rsidP="002E4A02">
            <w:r>
              <w:t>Workplace Health and Safety Queensland</w:t>
            </w:r>
          </w:p>
        </w:tc>
      </w:tr>
      <w:tr w:rsidR="00A1649F" w:rsidRPr="00DD1045" w14:paraId="3F436CFA" w14:textId="77777777" w:rsidTr="00E45E97">
        <w:tc>
          <w:tcPr>
            <w:tcW w:w="2320" w:type="dxa"/>
            <w:tcBorders>
              <w:left w:val="nil"/>
            </w:tcBorders>
          </w:tcPr>
          <w:p w14:paraId="68B12A9F" w14:textId="7743405C" w:rsidR="00A1649F" w:rsidRDefault="00AA34A8" w:rsidP="002E4A02">
            <w:r>
              <w:t>Worker</w:t>
            </w:r>
          </w:p>
        </w:tc>
        <w:tc>
          <w:tcPr>
            <w:tcW w:w="6706" w:type="dxa"/>
            <w:tcBorders>
              <w:right w:val="nil"/>
            </w:tcBorders>
          </w:tcPr>
          <w:p w14:paraId="6FBCF657" w14:textId="068B2B2B" w:rsidR="00A1649F" w:rsidRDefault="00E45E97" w:rsidP="002E4A02">
            <w:r w:rsidRPr="00E45E97">
              <w:t xml:space="preserve">A ‘worker’ for the purposes of the </w:t>
            </w:r>
            <w:r w:rsidRPr="00E45E97">
              <w:rPr>
                <w:i/>
                <w:iCs/>
              </w:rPr>
              <w:t>Workers’ Compensation and Rehabilitation Act 2003</w:t>
            </w:r>
            <w:r w:rsidRPr="00E45E97">
              <w:t xml:space="preserve"> is an individual employed under a Contract of Service (sect 11) or specifically included under Schedule 2 Part 1, unless specifically excluded under Schedule 2 Part 2.</w:t>
            </w:r>
          </w:p>
        </w:tc>
      </w:tr>
    </w:tbl>
    <w:p w14:paraId="0C5428B7" w14:textId="315C72DD" w:rsidR="002E4A02" w:rsidRPr="00DD1045" w:rsidRDefault="002E4A02" w:rsidP="002E4A02"/>
    <w:sectPr w:rsidR="002E4A02" w:rsidRPr="00DD1045" w:rsidSect="00AF5394">
      <w:pgSz w:w="11906" w:h="16838"/>
      <w:pgMar w:top="1440" w:right="1440" w:bottom="1440" w:left="1440" w:header="708" w:footer="708" w:gutter="0"/>
      <w:pgNumType w:start="8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3EB14" w14:textId="77777777" w:rsidR="00DB5CE1" w:rsidRDefault="00DB5CE1" w:rsidP="00231530">
      <w:pPr>
        <w:spacing w:before="0" w:after="0" w:line="240" w:lineRule="auto"/>
      </w:pPr>
      <w:r>
        <w:separator/>
      </w:r>
    </w:p>
  </w:endnote>
  <w:endnote w:type="continuationSeparator" w:id="0">
    <w:p w14:paraId="73129C04" w14:textId="77777777" w:rsidR="00DB5CE1" w:rsidRDefault="00DB5CE1" w:rsidP="00231530">
      <w:pPr>
        <w:spacing w:before="0" w:after="0" w:line="240" w:lineRule="auto"/>
      </w:pPr>
      <w:r>
        <w:continuationSeparator/>
      </w:r>
    </w:p>
  </w:endnote>
  <w:endnote w:type="continuationNotice" w:id="1">
    <w:p w14:paraId="6E950FC7" w14:textId="77777777" w:rsidR="00DB5CE1" w:rsidRDefault="00DB5CE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ource Sans Pro">
    <w:altName w:val="Arial"/>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ource Sans Pro Light">
    <w:panose1 w:val="020B04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unito Sans">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747423580"/>
      <w:docPartObj>
        <w:docPartGallery w:val="Page Numbers (Bottom of Page)"/>
        <w:docPartUnique/>
      </w:docPartObj>
    </w:sdtPr>
    <w:sdtEndPr>
      <w:rPr>
        <w:noProof/>
        <w:sz w:val="20"/>
        <w:szCs w:val="20"/>
      </w:rPr>
    </w:sdtEndPr>
    <w:sdtContent>
      <w:p w14:paraId="6ED3A2E7" w14:textId="3FDAB4F9" w:rsidR="002E1EC2" w:rsidRPr="002E1EC2" w:rsidRDefault="002E1EC2" w:rsidP="000D5BC1">
        <w:pPr>
          <w:pStyle w:val="Footer"/>
          <w:jc w:val="right"/>
          <w:rPr>
            <w:sz w:val="18"/>
            <w:szCs w:val="18"/>
          </w:rPr>
        </w:pPr>
      </w:p>
      <w:p w14:paraId="043843F1" w14:textId="481D7C64" w:rsidR="002E1EC2" w:rsidRDefault="00000000">
        <w:pPr>
          <w:pStyle w:val="Footer"/>
        </w:pPr>
      </w:p>
    </w:sdtContent>
  </w:sdt>
  <w:p w14:paraId="070BC3F7" w14:textId="77777777" w:rsidR="002E1EC2" w:rsidRDefault="002E1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850713274"/>
      <w:docPartObj>
        <w:docPartGallery w:val="Page Numbers (Bottom of Page)"/>
        <w:docPartUnique/>
      </w:docPartObj>
    </w:sdtPr>
    <w:sdtEndPr>
      <w:rPr>
        <w:noProof/>
      </w:rPr>
    </w:sdtEndPr>
    <w:sdtContent>
      <w:p w14:paraId="2B290C09" w14:textId="3613DEFB" w:rsidR="002E1EC2" w:rsidRPr="00B239C5" w:rsidRDefault="002E1EC2" w:rsidP="002E1EC2">
        <w:pPr>
          <w:pStyle w:val="Footer"/>
          <w:pBdr>
            <w:top w:val="single" w:sz="4" w:space="1" w:color="auto"/>
          </w:pBdr>
          <w:jc w:val="right"/>
          <w:rPr>
            <w:sz w:val="16"/>
            <w:szCs w:val="16"/>
          </w:rPr>
        </w:pPr>
        <w:r w:rsidRPr="00B239C5">
          <w:rPr>
            <w:rFonts w:ascii="Source Sans Pro SemiBold" w:hAnsi="Source Sans Pro SemiBold"/>
            <w:sz w:val="16"/>
            <w:szCs w:val="16"/>
          </w:rPr>
          <w:t>WorkCover Queensland</w:t>
        </w:r>
        <w:r w:rsidRPr="00B239C5">
          <w:rPr>
            <w:sz w:val="16"/>
            <w:szCs w:val="16"/>
          </w:rPr>
          <w:t xml:space="preserve"> 2023–2024 Annual Report </w:t>
        </w:r>
        <w:r w:rsidRPr="00B239C5">
          <w:rPr>
            <w:sz w:val="16"/>
            <w:szCs w:val="16"/>
          </w:rPr>
          <w:tab/>
        </w:r>
        <w:r w:rsidRPr="00B239C5">
          <w:rPr>
            <w:sz w:val="16"/>
            <w:szCs w:val="16"/>
          </w:rPr>
          <w:tab/>
        </w:r>
        <w:r w:rsidRPr="00B239C5">
          <w:rPr>
            <w:sz w:val="16"/>
            <w:szCs w:val="16"/>
          </w:rPr>
          <w:fldChar w:fldCharType="begin"/>
        </w:r>
        <w:r w:rsidRPr="00B239C5">
          <w:rPr>
            <w:sz w:val="16"/>
            <w:szCs w:val="16"/>
          </w:rPr>
          <w:instrText xml:space="preserve"> PAGE   \* MERGEFORMAT </w:instrText>
        </w:r>
        <w:r w:rsidRPr="00B239C5">
          <w:rPr>
            <w:sz w:val="16"/>
            <w:szCs w:val="16"/>
          </w:rPr>
          <w:fldChar w:fldCharType="separate"/>
        </w:r>
        <w:r w:rsidRPr="00B239C5">
          <w:rPr>
            <w:noProof/>
            <w:sz w:val="16"/>
            <w:szCs w:val="16"/>
          </w:rPr>
          <w:t>2</w:t>
        </w:r>
        <w:r w:rsidRPr="00B239C5">
          <w:rPr>
            <w:noProof/>
            <w:sz w:val="16"/>
            <w:szCs w:val="16"/>
          </w:rPr>
          <w:fldChar w:fldCharType="end"/>
        </w:r>
      </w:p>
    </w:sdtContent>
  </w:sdt>
  <w:p w14:paraId="10DD804D" w14:textId="230252A3" w:rsidR="00231530" w:rsidRPr="002E1EC2" w:rsidRDefault="00231530">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359356139"/>
      <w:docPartObj>
        <w:docPartGallery w:val="Page Numbers (Bottom of Page)"/>
        <w:docPartUnique/>
      </w:docPartObj>
    </w:sdtPr>
    <w:sdtEndPr>
      <w:rPr>
        <w:noProof/>
        <w:sz w:val="20"/>
        <w:szCs w:val="20"/>
      </w:rPr>
    </w:sdtEndPr>
    <w:sdtContent>
      <w:p w14:paraId="34EA4CF7" w14:textId="77777777" w:rsidR="000D5BC1" w:rsidRPr="00B239C5" w:rsidRDefault="000D5BC1" w:rsidP="002E1EC2">
        <w:pPr>
          <w:pStyle w:val="Footer"/>
          <w:pBdr>
            <w:top w:val="single" w:sz="4" w:space="1" w:color="auto"/>
          </w:pBdr>
          <w:jc w:val="right"/>
          <w:rPr>
            <w:sz w:val="16"/>
            <w:szCs w:val="16"/>
          </w:rPr>
        </w:pPr>
        <w:r w:rsidRPr="00B239C5">
          <w:rPr>
            <w:sz w:val="16"/>
            <w:szCs w:val="16"/>
          </w:rPr>
          <w:fldChar w:fldCharType="begin"/>
        </w:r>
        <w:r w:rsidRPr="00DA2CBE">
          <w:rPr>
            <w:sz w:val="16"/>
            <w:szCs w:val="16"/>
          </w:rPr>
          <w:instrText xml:space="preserve"> PAGE   \* MERGEFORMAT </w:instrText>
        </w:r>
        <w:r w:rsidRPr="00B239C5">
          <w:rPr>
            <w:sz w:val="16"/>
            <w:szCs w:val="16"/>
          </w:rPr>
          <w:fldChar w:fldCharType="separate"/>
        </w:r>
        <w:r w:rsidRPr="00EB0D2C">
          <w:rPr>
            <w:noProof/>
            <w:sz w:val="16"/>
            <w:szCs w:val="16"/>
          </w:rPr>
          <w:t>2</w:t>
        </w:r>
        <w:r w:rsidRPr="00B239C5">
          <w:rPr>
            <w:noProof/>
            <w:sz w:val="16"/>
            <w:szCs w:val="16"/>
          </w:rPr>
          <w:fldChar w:fldCharType="end"/>
        </w:r>
        <w:r w:rsidRPr="00B239C5">
          <w:rPr>
            <w:noProof/>
            <w:sz w:val="16"/>
            <w:szCs w:val="16"/>
          </w:rPr>
          <w:t xml:space="preserve"> </w:t>
        </w:r>
        <w:sdt>
          <w:sdtPr>
            <w:rPr>
              <w:sz w:val="16"/>
              <w:szCs w:val="16"/>
            </w:rPr>
            <w:id w:val="-1868598733"/>
            <w:docPartObj>
              <w:docPartGallery w:val="Page Numbers (Bottom of Page)"/>
              <w:docPartUnique/>
            </w:docPartObj>
          </w:sdtPr>
          <w:sdtEndPr>
            <w:rPr>
              <w:noProof/>
            </w:rPr>
          </w:sdtEndPr>
          <w:sdtContent>
            <w:r w:rsidRPr="00B239C5">
              <w:rPr>
                <w:sz w:val="16"/>
                <w:szCs w:val="16"/>
              </w:rPr>
              <w:tab/>
            </w:r>
            <w:r w:rsidRPr="00B239C5">
              <w:rPr>
                <w:sz w:val="16"/>
                <w:szCs w:val="16"/>
              </w:rPr>
              <w:tab/>
            </w:r>
            <w:r w:rsidRPr="00B239C5">
              <w:rPr>
                <w:rFonts w:ascii="Source Sans Pro SemiBold" w:hAnsi="Source Sans Pro SemiBold"/>
                <w:sz w:val="16"/>
                <w:szCs w:val="16"/>
              </w:rPr>
              <w:t>WorkCover Queensland</w:t>
            </w:r>
            <w:r w:rsidRPr="00B239C5">
              <w:rPr>
                <w:sz w:val="16"/>
                <w:szCs w:val="16"/>
              </w:rPr>
              <w:t xml:space="preserve"> 2023–2024 Annual Report</w:t>
            </w:r>
          </w:sdtContent>
        </w:sdt>
      </w:p>
      <w:p w14:paraId="1B976471" w14:textId="77777777" w:rsidR="000D5BC1" w:rsidRDefault="00000000">
        <w:pPr>
          <w:pStyle w:val="Footer"/>
        </w:pPr>
      </w:p>
    </w:sdtContent>
  </w:sdt>
  <w:p w14:paraId="19F50C2F" w14:textId="77777777" w:rsidR="000D5BC1" w:rsidRDefault="000D5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46A99" w14:textId="77777777" w:rsidR="00DB5CE1" w:rsidRDefault="00DB5CE1" w:rsidP="00231530">
      <w:pPr>
        <w:spacing w:before="0" w:after="0" w:line="240" w:lineRule="auto"/>
      </w:pPr>
      <w:r>
        <w:separator/>
      </w:r>
    </w:p>
  </w:footnote>
  <w:footnote w:type="continuationSeparator" w:id="0">
    <w:p w14:paraId="2F85758F" w14:textId="77777777" w:rsidR="00DB5CE1" w:rsidRDefault="00DB5CE1" w:rsidP="00231530">
      <w:pPr>
        <w:spacing w:before="0" w:after="0" w:line="240" w:lineRule="auto"/>
      </w:pPr>
      <w:r>
        <w:continuationSeparator/>
      </w:r>
    </w:p>
  </w:footnote>
  <w:footnote w:type="continuationNotice" w:id="1">
    <w:p w14:paraId="2FB77188" w14:textId="77777777" w:rsidR="00DB5CE1" w:rsidRDefault="00DB5CE1">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16E1D"/>
    <w:multiLevelType w:val="hybridMultilevel"/>
    <w:tmpl w:val="788CED62"/>
    <w:lvl w:ilvl="0" w:tplc="A2D2F0F4">
      <w:numFmt w:val="bullet"/>
      <w:lvlText w:val="−"/>
      <w:lvlJc w:val="left"/>
      <w:pPr>
        <w:ind w:left="786" w:hanging="360"/>
      </w:pPr>
      <w:rPr>
        <w:rFonts w:ascii="Source Sans Pro" w:hAnsi="Source Sans Pro" w:cstheme="minorBidi" w:hint="default"/>
        <w:spacing w:val="3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94747B"/>
    <w:multiLevelType w:val="hybridMultilevel"/>
    <w:tmpl w:val="D694ABAC"/>
    <w:lvl w:ilvl="0" w:tplc="A2D2F0F4">
      <w:numFmt w:val="bullet"/>
      <w:lvlText w:val="−"/>
      <w:lvlJc w:val="left"/>
      <w:pPr>
        <w:ind w:left="786" w:hanging="360"/>
      </w:pPr>
      <w:rPr>
        <w:rFonts w:ascii="Source Sans Pro" w:hAnsi="Source Sans Pro" w:cstheme="minorBidi" w:hint="default"/>
        <w:spacing w:val="3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6D20740"/>
    <w:multiLevelType w:val="hybridMultilevel"/>
    <w:tmpl w:val="81680E68"/>
    <w:lvl w:ilvl="0" w:tplc="A2D2F0F4">
      <w:numFmt w:val="bullet"/>
      <w:lvlText w:val="−"/>
      <w:lvlJc w:val="left"/>
      <w:pPr>
        <w:ind w:left="720" w:hanging="360"/>
      </w:pPr>
      <w:rPr>
        <w:rFonts w:ascii="Source Sans Pro" w:hAnsi="Source Sans Pro" w:cstheme="minorBidi" w:hint="default"/>
        <w:spacing w:val="3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BCC6771"/>
    <w:multiLevelType w:val="hybridMultilevel"/>
    <w:tmpl w:val="16EA58CA"/>
    <w:lvl w:ilvl="0" w:tplc="A2D2F0F4">
      <w:numFmt w:val="bullet"/>
      <w:lvlText w:val="−"/>
      <w:lvlJc w:val="left"/>
      <w:pPr>
        <w:ind w:left="786" w:hanging="360"/>
      </w:pPr>
      <w:rPr>
        <w:rFonts w:ascii="Source Sans Pro" w:hAnsi="Source Sans Pro" w:cstheme="minorBidi" w:hint="default"/>
        <w:spacing w:val="3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CA241C3"/>
    <w:multiLevelType w:val="multilevel"/>
    <w:tmpl w:val="15826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EC6EAD"/>
    <w:multiLevelType w:val="hybridMultilevel"/>
    <w:tmpl w:val="8F52CDF6"/>
    <w:lvl w:ilvl="0" w:tplc="A2D2F0F4">
      <w:numFmt w:val="bullet"/>
      <w:lvlText w:val="−"/>
      <w:lvlJc w:val="left"/>
      <w:pPr>
        <w:ind w:left="720" w:hanging="360"/>
      </w:pPr>
      <w:rPr>
        <w:rFonts w:ascii="Source Sans Pro" w:hAnsi="Source Sans Pro" w:cstheme="minorBidi" w:hint="default"/>
        <w:spacing w:val="3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803586C"/>
    <w:multiLevelType w:val="hybridMultilevel"/>
    <w:tmpl w:val="3D5EA3A8"/>
    <w:lvl w:ilvl="0" w:tplc="A2D2F0F4">
      <w:numFmt w:val="bullet"/>
      <w:lvlText w:val="−"/>
      <w:lvlJc w:val="left"/>
      <w:pPr>
        <w:ind w:left="786" w:hanging="360"/>
      </w:pPr>
      <w:rPr>
        <w:rFonts w:ascii="Source Sans Pro" w:hAnsi="Source Sans Pro" w:cstheme="minorBidi" w:hint="default"/>
        <w:spacing w:val="3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9852BEF"/>
    <w:multiLevelType w:val="hybridMultilevel"/>
    <w:tmpl w:val="8D74470E"/>
    <w:lvl w:ilvl="0" w:tplc="A2D2F0F4">
      <w:numFmt w:val="bullet"/>
      <w:lvlText w:val="−"/>
      <w:lvlJc w:val="left"/>
      <w:pPr>
        <w:ind w:left="720" w:hanging="360"/>
      </w:pPr>
      <w:rPr>
        <w:rFonts w:ascii="Source Sans Pro" w:hAnsi="Source Sans Pro" w:cstheme="minorBidi" w:hint="default"/>
        <w:spacing w:val="3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EF6B6D"/>
    <w:multiLevelType w:val="multilevel"/>
    <w:tmpl w:val="F402B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29690F"/>
    <w:multiLevelType w:val="hybridMultilevel"/>
    <w:tmpl w:val="E400974C"/>
    <w:lvl w:ilvl="0" w:tplc="E77885A8">
      <w:numFmt w:val="bullet"/>
      <w:pStyle w:val="ARDotpoints"/>
      <w:lvlText w:val="−"/>
      <w:lvlJc w:val="left"/>
      <w:pPr>
        <w:ind w:left="786" w:hanging="360"/>
      </w:pPr>
      <w:rPr>
        <w:rFonts w:ascii="Source Sans Pro" w:hAnsi="Source Sans Pro"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5364678">
    <w:abstractNumId w:val="9"/>
  </w:num>
  <w:num w:numId="2" w16cid:durableId="1550998928">
    <w:abstractNumId w:val="7"/>
  </w:num>
  <w:num w:numId="3" w16cid:durableId="1358890373">
    <w:abstractNumId w:val="1"/>
  </w:num>
  <w:num w:numId="4" w16cid:durableId="2042241243">
    <w:abstractNumId w:val="6"/>
  </w:num>
  <w:num w:numId="5" w16cid:durableId="1474525470">
    <w:abstractNumId w:val="2"/>
  </w:num>
  <w:num w:numId="6" w16cid:durableId="972177086">
    <w:abstractNumId w:val="5"/>
  </w:num>
  <w:num w:numId="7" w16cid:durableId="258829467">
    <w:abstractNumId w:val="0"/>
  </w:num>
  <w:num w:numId="8" w16cid:durableId="938684525">
    <w:abstractNumId w:val="3"/>
  </w:num>
  <w:num w:numId="9" w16cid:durableId="2008095408">
    <w:abstractNumId w:val="9"/>
  </w:num>
  <w:num w:numId="10" w16cid:durableId="1570113307">
    <w:abstractNumId w:val="8"/>
  </w:num>
  <w:num w:numId="11" w16cid:durableId="243996975">
    <w:abstractNumId w:val="4"/>
  </w:num>
  <w:num w:numId="12" w16cid:durableId="1721829122">
    <w:abstractNumId w:val="9"/>
  </w:num>
  <w:num w:numId="13" w16cid:durableId="1138645482">
    <w:abstractNumId w:val="9"/>
  </w:num>
  <w:num w:numId="14" w16cid:durableId="375737417">
    <w:abstractNumId w:val="9"/>
  </w:num>
  <w:num w:numId="15" w16cid:durableId="185094929">
    <w:abstractNumId w:val="9"/>
  </w:num>
  <w:num w:numId="16" w16cid:durableId="28652713">
    <w:abstractNumId w:val="9"/>
  </w:num>
  <w:num w:numId="17" w16cid:durableId="1676609375">
    <w:abstractNumId w:val="9"/>
  </w:num>
  <w:num w:numId="18" w16cid:durableId="2100445711">
    <w:abstractNumId w:val="9"/>
  </w:num>
  <w:num w:numId="19" w16cid:durableId="679966363">
    <w:abstractNumId w:val="9"/>
  </w:num>
  <w:num w:numId="20" w16cid:durableId="1621643153">
    <w:abstractNumId w:val="9"/>
  </w:num>
  <w:num w:numId="21" w16cid:durableId="39715100">
    <w:abstractNumId w:val="9"/>
  </w:num>
  <w:num w:numId="22" w16cid:durableId="648557130">
    <w:abstractNumId w:val="9"/>
  </w:num>
  <w:num w:numId="23" w16cid:durableId="5690595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49"/>
    <w:rsid w:val="00000114"/>
    <w:rsid w:val="00000294"/>
    <w:rsid w:val="000002A7"/>
    <w:rsid w:val="00000B65"/>
    <w:rsid w:val="00001458"/>
    <w:rsid w:val="00001F68"/>
    <w:rsid w:val="00002791"/>
    <w:rsid w:val="0000332B"/>
    <w:rsid w:val="00003D3E"/>
    <w:rsid w:val="00004594"/>
    <w:rsid w:val="00004687"/>
    <w:rsid w:val="00004733"/>
    <w:rsid w:val="0000605B"/>
    <w:rsid w:val="00007098"/>
    <w:rsid w:val="000073B0"/>
    <w:rsid w:val="0000761B"/>
    <w:rsid w:val="00010020"/>
    <w:rsid w:val="00010B55"/>
    <w:rsid w:val="000118C8"/>
    <w:rsid w:val="00012356"/>
    <w:rsid w:val="000129C8"/>
    <w:rsid w:val="00012CA2"/>
    <w:rsid w:val="00012E23"/>
    <w:rsid w:val="00012E99"/>
    <w:rsid w:val="00012ED9"/>
    <w:rsid w:val="00013BAF"/>
    <w:rsid w:val="000146F9"/>
    <w:rsid w:val="0001683D"/>
    <w:rsid w:val="00016BDD"/>
    <w:rsid w:val="00016BF1"/>
    <w:rsid w:val="00017BB2"/>
    <w:rsid w:val="00021BEE"/>
    <w:rsid w:val="000220FD"/>
    <w:rsid w:val="000234B0"/>
    <w:rsid w:val="000242CC"/>
    <w:rsid w:val="0002444D"/>
    <w:rsid w:val="00024FF7"/>
    <w:rsid w:val="000255BF"/>
    <w:rsid w:val="0002669F"/>
    <w:rsid w:val="000276A7"/>
    <w:rsid w:val="000278EE"/>
    <w:rsid w:val="0003088B"/>
    <w:rsid w:val="000315BA"/>
    <w:rsid w:val="00031639"/>
    <w:rsid w:val="00031A7A"/>
    <w:rsid w:val="000326E9"/>
    <w:rsid w:val="000329AE"/>
    <w:rsid w:val="00032A94"/>
    <w:rsid w:val="000337EF"/>
    <w:rsid w:val="00034704"/>
    <w:rsid w:val="00034E18"/>
    <w:rsid w:val="00035014"/>
    <w:rsid w:val="00035607"/>
    <w:rsid w:val="00035FB8"/>
    <w:rsid w:val="000364EE"/>
    <w:rsid w:val="00036DD9"/>
    <w:rsid w:val="000370A4"/>
    <w:rsid w:val="000372A1"/>
    <w:rsid w:val="00037AAD"/>
    <w:rsid w:val="00037E32"/>
    <w:rsid w:val="00040917"/>
    <w:rsid w:val="00040AD8"/>
    <w:rsid w:val="00040AFD"/>
    <w:rsid w:val="00041073"/>
    <w:rsid w:val="00041712"/>
    <w:rsid w:val="00041856"/>
    <w:rsid w:val="00041C55"/>
    <w:rsid w:val="000423EF"/>
    <w:rsid w:val="00042664"/>
    <w:rsid w:val="00042A0A"/>
    <w:rsid w:val="00042FF3"/>
    <w:rsid w:val="000431A8"/>
    <w:rsid w:val="000437D7"/>
    <w:rsid w:val="00044912"/>
    <w:rsid w:val="00044D43"/>
    <w:rsid w:val="00045477"/>
    <w:rsid w:val="0004629E"/>
    <w:rsid w:val="0004633E"/>
    <w:rsid w:val="00046BA6"/>
    <w:rsid w:val="00046F22"/>
    <w:rsid w:val="0004704E"/>
    <w:rsid w:val="00047CD7"/>
    <w:rsid w:val="000508A4"/>
    <w:rsid w:val="000513EB"/>
    <w:rsid w:val="00051821"/>
    <w:rsid w:val="00051F8E"/>
    <w:rsid w:val="0005326D"/>
    <w:rsid w:val="00053689"/>
    <w:rsid w:val="000539C8"/>
    <w:rsid w:val="00053FF5"/>
    <w:rsid w:val="000546F0"/>
    <w:rsid w:val="0005486B"/>
    <w:rsid w:val="00054AA6"/>
    <w:rsid w:val="00055171"/>
    <w:rsid w:val="00055600"/>
    <w:rsid w:val="00056FEB"/>
    <w:rsid w:val="00057B9A"/>
    <w:rsid w:val="00060C80"/>
    <w:rsid w:val="00061730"/>
    <w:rsid w:val="00061ACE"/>
    <w:rsid w:val="0006222D"/>
    <w:rsid w:val="00063132"/>
    <w:rsid w:val="0006317D"/>
    <w:rsid w:val="00063739"/>
    <w:rsid w:val="00063956"/>
    <w:rsid w:val="00063DAE"/>
    <w:rsid w:val="00064361"/>
    <w:rsid w:val="00064605"/>
    <w:rsid w:val="00065189"/>
    <w:rsid w:val="000651CF"/>
    <w:rsid w:val="00065440"/>
    <w:rsid w:val="00065D5A"/>
    <w:rsid w:val="00065DAC"/>
    <w:rsid w:val="00065EBE"/>
    <w:rsid w:val="000660F0"/>
    <w:rsid w:val="00066722"/>
    <w:rsid w:val="000675B4"/>
    <w:rsid w:val="00070B6B"/>
    <w:rsid w:val="00071E8D"/>
    <w:rsid w:val="00072108"/>
    <w:rsid w:val="00072720"/>
    <w:rsid w:val="00073D68"/>
    <w:rsid w:val="00074345"/>
    <w:rsid w:val="00074523"/>
    <w:rsid w:val="000747C3"/>
    <w:rsid w:val="00075141"/>
    <w:rsid w:val="000752D6"/>
    <w:rsid w:val="00075B67"/>
    <w:rsid w:val="00075C6E"/>
    <w:rsid w:val="00075CFB"/>
    <w:rsid w:val="00076A8F"/>
    <w:rsid w:val="0007737E"/>
    <w:rsid w:val="00077FAB"/>
    <w:rsid w:val="0008122D"/>
    <w:rsid w:val="000814AB"/>
    <w:rsid w:val="0008223E"/>
    <w:rsid w:val="00082E36"/>
    <w:rsid w:val="00083311"/>
    <w:rsid w:val="00083324"/>
    <w:rsid w:val="00083676"/>
    <w:rsid w:val="0008414D"/>
    <w:rsid w:val="00084807"/>
    <w:rsid w:val="00084884"/>
    <w:rsid w:val="00084B48"/>
    <w:rsid w:val="00084C61"/>
    <w:rsid w:val="00086817"/>
    <w:rsid w:val="000874E5"/>
    <w:rsid w:val="00087793"/>
    <w:rsid w:val="00090E5C"/>
    <w:rsid w:val="0009105F"/>
    <w:rsid w:val="00092059"/>
    <w:rsid w:val="000930AC"/>
    <w:rsid w:val="0009586E"/>
    <w:rsid w:val="000959E3"/>
    <w:rsid w:val="0009633E"/>
    <w:rsid w:val="00096531"/>
    <w:rsid w:val="00096ADA"/>
    <w:rsid w:val="00096C70"/>
    <w:rsid w:val="000973C6"/>
    <w:rsid w:val="0009742B"/>
    <w:rsid w:val="00097F9C"/>
    <w:rsid w:val="000A0605"/>
    <w:rsid w:val="000A084F"/>
    <w:rsid w:val="000A0BE3"/>
    <w:rsid w:val="000A17B6"/>
    <w:rsid w:val="000A1FF2"/>
    <w:rsid w:val="000A1FF8"/>
    <w:rsid w:val="000A2220"/>
    <w:rsid w:val="000A23CC"/>
    <w:rsid w:val="000A2AC6"/>
    <w:rsid w:val="000A2C13"/>
    <w:rsid w:val="000A31A1"/>
    <w:rsid w:val="000A33E1"/>
    <w:rsid w:val="000A363F"/>
    <w:rsid w:val="000A3728"/>
    <w:rsid w:val="000A4AA6"/>
    <w:rsid w:val="000A5194"/>
    <w:rsid w:val="000A54EA"/>
    <w:rsid w:val="000A58B2"/>
    <w:rsid w:val="000A5D9A"/>
    <w:rsid w:val="000A5E96"/>
    <w:rsid w:val="000A63B1"/>
    <w:rsid w:val="000A64BE"/>
    <w:rsid w:val="000A6559"/>
    <w:rsid w:val="000A6CDC"/>
    <w:rsid w:val="000A70F5"/>
    <w:rsid w:val="000A744F"/>
    <w:rsid w:val="000A7774"/>
    <w:rsid w:val="000A7DBD"/>
    <w:rsid w:val="000B0121"/>
    <w:rsid w:val="000B060B"/>
    <w:rsid w:val="000B061A"/>
    <w:rsid w:val="000B07C9"/>
    <w:rsid w:val="000B0D40"/>
    <w:rsid w:val="000B23FA"/>
    <w:rsid w:val="000B2747"/>
    <w:rsid w:val="000B348A"/>
    <w:rsid w:val="000B502A"/>
    <w:rsid w:val="000B5279"/>
    <w:rsid w:val="000B5364"/>
    <w:rsid w:val="000B54F5"/>
    <w:rsid w:val="000B59DA"/>
    <w:rsid w:val="000B650E"/>
    <w:rsid w:val="000B74E5"/>
    <w:rsid w:val="000B74F2"/>
    <w:rsid w:val="000B7C14"/>
    <w:rsid w:val="000B7D9A"/>
    <w:rsid w:val="000C0110"/>
    <w:rsid w:val="000C0A29"/>
    <w:rsid w:val="000C14E0"/>
    <w:rsid w:val="000C1527"/>
    <w:rsid w:val="000C171A"/>
    <w:rsid w:val="000C3D6E"/>
    <w:rsid w:val="000C4E57"/>
    <w:rsid w:val="000C4FEA"/>
    <w:rsid w:val="000C608A"/>
    <w:rsid w:val="000C6357"/>
    <w:rsid w:val="000C6899"/>
    <w:rsid w:val="000C6ABB"/>
    <w:rsid w:val="000C73B4"/>
    <w:rsid w:val="000C7650"/>
    <w:rsid w:val="000C7DE1"/>
    <w:rsid w:val="000C7F88"/>
    <w:rsid w:val="000D003E"/>
    <w:rsid w:val="000D0DB3"/>
    <w:rsid w:val="000D211E"/>
    <w:rsid w:val="000D2832"/>
    <w:rsid w:val="000D2DAC"/>
    <w:rsid w:val="000D3812"/>
    <w:rsid w:val="000D3ABE"/>
    <w:rsid w:val="000D4724"/>
    <w:rsid w:val="000D4F0E"/>
    <w:rsid w:val="000D55F6"/>
    <w:rsid w:val="000D5BC1"/>
    <w:rsid w:val="000D5D4B"/>
    <w:rsid w:val="000D6019"/>
    <w:rsid w:val="000D6DEA"/>
    <w:rsid w:val="000D6DEF"/>
    <w:rsid w:val="000D7639"/>
    <w:rsid w:val="000D7BBC"/>
    <w:rsid w:val="000E00B5"/>
    <w:rsid w:val="000E0157"/>
    <w:rsid w:val="000E1917"/>
    <w:rsid w:val="000E1D7B"/>
    <w:rsid w:val="000E1F85"/>
    <w:rsid w:val="000E3CF0"/>
    <w:rsid w:val="000E4227"/>
    <w:rsid w:val="000E46B4"/>
    <w:rsid w:val="000E532A"/>
    <w:rsid w:val="000E6626"/>
    <w:rsid w:val="000E76ED"/>
    <w:rsid w:val="000E77B1"/>
    <w:rsid w:val="000F0D6A"/>
    <w:rsid w:val="000F152F"/>
    <w:rsid w:val="000F1AE5"/>
    <w:rsid w:val="000F23D4"/>
    <w:rsid w:val="000F262D"/>
    <w:rsid w:val="000F3327"/>
    <w:rsid w:val="000F400C"/>
    <w:rsid w:val="000F5368"/>
    <w:rsid w:val="000F5FDB"/>
    <w:rsid w:val="000F62EC"/>
    <w:rsid w:val="000F74FC"/>
    <w:rsid w:val="000F773E"/>
    <w:rsid w:val="000F7F6D"/>
    <w:rsid w:val="0010048B"/>
    <w:rsid w:val="001005E9"/>
    <w:rsid w:val="00100C8B"/>
    <w:rsid w:val="00100F40"/>
    <w:rsid w:val="0010122F"/>
    <w:rsid w:val="00101431"/>
    <w:rsid w:val="00101DE1"/>
    <w:rsid w:val="0010294D"/>
    <w:rsid w:val="00102C7F"/>
    <w:rsid w:val="00102FFE"/>
    <w:rsid w:val="00104344"/>
    <w:rsid w:val="001066BB"/>
    <w:rsid w:val="00106750"/>
    <w:rsid w:val="00106B6C"/>
    <w:rsid w:val="001107AD"/>
    <w:rsid w:val="001108B3"/>
    <w:rsid w:val="00110EE3"/>
    <w:rsid w:val="00111094"/>
    <w:rsid w:val="00112A16"/>
    <w:rsid w:val="00112F83"/>
    <w:rsid w:val="00113481"/>
    <w:rsid w:val="001138CC"/>
    <w:rsid w:val="001148F6"/>
    <w:rsid w:val="001170C4"/>
    <w:rsid w:val="0011784F"/>
    <w:rsid w:val="00117937"/>
    <w:rsid w:val="001179CA"/>
    <w:rsid w:val="001202FC"/>
    <w:rsid w:val="00120401"/>
    <w:rsid w:val="00120543"/>
    <w:rsid w:val="0012099C"/>
    <w:rsid w:val="001219E5"/>
    <w:rsid w:val="0012226A"/>
    <w:rsid w:val="001223C0"/>
    <w:rsid w:val="00122854"/>
    <w:rsid w:val="00122906"/>
    <w:rsid w:val="00122C06"/>
    <w:rsid w:val="00123551"/>
    <w:rsid w:val="00123DAB"/>
    <w:rsid w:val="00123F33"/>
    <w:rsid w:val="0012461B"/>
    <w:rsid w:val="001253A2"/>
    <w:rsid w:val="0012721E"/>
    <w:rsid w:val="0013149F"/>
    <w:rsid w:val="00131607"/>
    <w:rsid w:val="00131A5D"/>
    <w:rsid w:val="001321EB"/>
    <w:rsid w:val="00132BC8"/>
    <w:rsid w:val="0013352C"/>
    <w:rsid w:val="00133A71"/>
    <w:rsid w:val="00133E2D"/>
    <w:rsid w:val="00133EDF"/>
    <w:rsid w:val="00134927"/>
    <w:rsid w:val="00135222"/>
    <w:rsid w:val="001353FC"/>
    <w:rsid w:val="001355B9"/>
    <w:rsid w:val="00135C54"/>
    <w:rsid w:val="00135F3E"/>
    <w:rsid w:val="00135F79"/>
    <w:rsid w:val="00136109"/>
    <w:rsid w:val="001362F2"/>
    <w:rsid w:val="00136658"/>
    <w:rsid w:val="0013690E"/>
    <w:rsid w:val="00136B07"/>
    <w:rsid w:val="00136D5A"/>
    <w:rsid w:val="00136DF4"/>
    <w:rsid w:val="001374DB"/>
    <w:rsid w:val="0014013C"/>
    <w:rsid w:val="0014151E"/>
    <w:rsid w:val="0014224F"/>
    <w:rsid w:val="001423BA"/>
    <w:rsid w:val="001426D2"/>
    <w:rsid w:val="00142867"/>
    <w:rsid w:val="001432CC"/>
    <w:rsid w:val="0014346C"/>
    <w:rsid w:val="00143EA7"/>
    <w:rsid w:val="00144603"/>
    <w:rsid w:val="00145B23"/>
    <w:rsid w:val="00145C33"/>
    <w:rsid w:val="00146973"/>
    <w:rsid w:val="001469F7"/>
    <w:rsid w:val="00147060"/>
    <w:rsid w:val="00147740"/>
    <w:rsid w:val="00147C28"/>
    <w:rsid w:val="00147F10"/>
    <w:rsid w:val="00150649"/>
    <w:rsid w:val="00151956"/>
    <w:rsid w:val="001520B0"/>
    <w:rsid w:val="001523F6"/>
    <w:rsid w:val="00152425"/>
    <w:rsid w:val="00152850"/>
    <w:rsid w:val="00152ADF"/>
    <w:rsid w:val="00152CF9"/>
    <w:rsid w:val="00153B56"/>
    <w:rsid w:val="00153DBF"/>
    <w:rsid w:val="0015483F"/>
    <w:rsid w:val="00154F46"/>
    <w:rsid w:val="001552CB"/>
    <w:rsid w:val="00155992"/>
    <w:rsid w:val="00156ECC"/>
    <w:rsid w:val="00156F2B"/>
    <w:rsid w:val="001571D4"/>
    <w:rsid w:val="00157806"/>
    <w:rsid w:val="001600C5"/>
    <w:rsid w:val="00160158"/>
    <w:rsid w:val="0016063D"/>
    <w:rsid w:val="00160EB2"/>
    <w:rsid w:val="001610F3"/>
    <w:rsid w:val="00162143"/>
    <w:rsid w:val="001637A6"/>
    <w:rsid w:val="00163999"/>
    <w:rsid w:val="00164B93"/>
    <w:rsid w:val="00165530"/>
    <w:rsid w:val="001656B1"/>
    <w:rsid w:val="00165A6C"/>
    <w:rsid w:val="00165DD7"/>
    <w:rsid w:val="001661A8"/>
    <w:rsid w:val="001668B7"/>
    <w:rsid w:val="00166DEB"/>
    <w:rsid w:val="00166FA9"/>
    <w:rsid w:val="001672CA"/>
    <w:rsid w:val="0016735F"/>
    <w:rsid w:val="00167BD7"/>
    <w:rsid w:val="00167C75"/>
    <w:rsid w:val="00167CF8"/>
    <w:rsid w:val="00167DCC"/>
    <w:rsid w:val="00170077"/>
    <w:rsid w:val="001704E7"/>
    <w:rsid w:val="0017067F"/>
    <w:rsid w:val="00170D19"/>
    <w:rsid w:val="00171421"/>
    <w:rsid w:val="0017187B"/>
    <w:rsid w:val="001732DF"/>
    <w:rsid w:val="0017431F"/>
    <w:rsid w:val="001750A3"/>
    <w:rsid w:val="00176208"/>
    <w:rsid w:val="00176E88"/>
    <w:rsid w:val="0017774E"/>
    <w:rsid w:val="00177ACD"/>
    <w:rsid w:val="00180B9D"/>
    <w:rsid w:val="00182D0B"/>
    <w:rsid w:val="00183D09"/>
    <w:rsid w:val="0018413B"/>
    <w:rsid w:val="001856B9"/>
    <w:rsid w:val="001867E4"/>
    <w:rsid w:val="0018732A"/>
    <w:rsid w:val="00187E88"/>
    <w:rsid w:val="0019114B"/>
    <w:rsid w:val="001925C1"/>
    <w:rsid w:val="00192930"/>
    <w:rsid w:val="0019322C"/>
    <w:rsid w:val="00193838"/>
    <w:rsid w:val="00195C76"/>
    <w:rsid w:val="0019616F"/>
    <w:rsid w:val="00196337"/>
    <w:rsid w:val="001967E1"/>
    <w:rsid w:val="001968EC"/>
    <w:rsid w:val="00196B18"/>
    <w:rsid w:val="00196CF9"/>
    <w:rsid w:val="00197D3D"/>
    <w:rsid w:val="001A1137"/>
    <w:rsid w:val="001A1B01"/>
    <w:rsid w:val="001A1BBC"/>
    <w:rsid w:val="001A273B"/>
    <w:rsid w:val="001A2C40"/>
    <w:rsid w:val="001A33E2"/>
    <w:rsid w:val="001A37CC"/>
    <w:rsid w:val="001A3CDE"/>
    <w:rsid w:val="001A43EB"/>
    <w:rsid w:val="001A4604"/>
    <w:rsid w:val="001A5001"/>
    <w:rsid w:val="001A556C"/>
    <w:rsid w:val="001A589C"/>
    <w:rsid w:val="001A596C"/>
    <w:rsid w:val="001A59CC"/>
    <w:rsid w:val="001A59CD"/>
    <w:rsid w:val="001A5D8A"/>
    <w:rsid w:val="001A5FE0"/>
    <w:rsid w:val="001A7947"/>
    <w:rsid w:val="001A7BCF"/>
    <w:rsid w:val="001A7DF9"/>
    <w:rsid w:val="001B2435"/>
    <w:rsid w:val="001B2B64"/>
    <w:rsid w:val="001B33F7"/>
    <w:rsid w:val="001B4B28"/>
    <w:rsid w:val="001B4DAB"/>
    <w:rsid w:val="001B4F35"/>
    <w:rsid w:val="001B5DA4"/>
    <w:rsid w:val="001C0F9A"/>
    <w:rsid w:val="001C11F2"/>
    <w:rsid w:val="001C20F3"/>
    <w:rsid w:val="001C210B"/>
    <w:rsid w:val="001C2696"/>
    <w:rsid w:val="001C32A2"/>
    <w:rsid w:val="001C3D1A"/>
    <w:rsid w:val="001C3D1B"/>
    <w:rsid w:val="001C44E3"/>
    <w:rsid w:val="001C5722"/>
    <w:rsid w:val="001C727A"/>
    <w:rsid w:val="001D0182"/>
    <w:rsid w:val="001D0523"/>
    <w:rsid w:val="001D0A27"/>
    <w:rsid w:val="001D158F"/>
    <w:rsid w:val="001D212B"/>
    <w:rsid w:val="001D23FB"/>
    <w:rsid w:val="001D249A"/>
    <w:rsid w:val="001D2E27"/>
    <w:rsid w:val="001D4FB2"/>
    <w:rsid w:val="001D52EF"/>
    <w:rsid w:val="001D5E7E"/>
    <w:rsid w:val="001D6123"/>
    <w:rsid w:val="001D6665"/>
    <w:rsid w:val="001D689D"/>
    <w:rsid w:val="001D7530"/>
    <w:rsid w:val="001D75FF"/>
    <w:rsid w:val="001D7CA5"/>
    <w:rsid w:val="001E026D"/>
    <w:rsid w:val="001E035E"/>
    <w:rsid w:val="001E4147"/>
    <w:rsid w:val="001E4A85"/>
    <w:rsid w:val="001E4AF9"/>
    <w:rsid w:val="001E6132"/>
    <w:rsid w:val="001F0AEB"/>
    <w:rsid w:val="001F0BC6"/>
    <w:rsid w:val="001F1114"/>
    <w:rsid w:val="001F121A"/>
    <w:rsid w:val="001F14F6"/>
    <w:rsid w:val="001F1797"/>
    <w:rsid w:val="001F2D5B"/>
    <w:rsid w:val="001F4874"/>
    <w:rsid w:val="001F5528"/>
    <w:rsid w:val="001F5578"/>
    <w:rsid w:val="001F562E"/>
    <w:rsid w:val="001F5B89"/>
    <w:rsid w:val="001F73C0"/>
    <w:rsid w:val="001F7671"/>
    <w:rsid w:val="001F78DF"/>
    <w:rsid w:val="0020040D"/>
    <w:rsid w:val="002009DF"/>
    <w:rsid w:val="00200BDC"/>
    <w:rsid w:val="00200DBB"/>
    <w:rsid w:val="00201210"/>
    <w:rsid w:val="002017AF"/>
    <w:rsid w:val="002023D0"/>
    <w:rsid w:val="00204B20"/>
    <w:rsid w:val="002053EC"/>
    <w:rsid w:val="0020611E"/>
    <w:rsid w:val="002067B9"/>
    <w:rsid w:val="00207EDD"/>
    <w:rsid w:val="0021058C"/>
    <w:rsid w:val="00211909"/>
    <w:rsid w:val="00211E2A"/>
    <w:rsid w:val="00212183"/>
    <w:rsid w:val="0021219A"/>
    <w:rsid w:val="002133CA"/>
    <w:rsid w:val="00213CA1"/>
    <w:rsid w:val="00213EA1"/>
    <w:rsid w:val="00214328"/>
    <w:rsid w:val="00215424"/>
    <w:rsid w:val="002161E7"/>
    <w:rsid w:val="002163B0"/>
    <w:rsid w:val="0021744C"/>
    <w:rsid w:val="00217766"/>
    <w:rsid w:val="00217B63"/>
    <w:rsid w:val="0022052B"/>
    <w:rsid w:val="00220632"/>
    <w:rsid w:val="00220703"/>
    <w:rsid w:val="00220A58"/>
    <w:rsid w:val="00220D13"/>
    <w:rsid w:val="002218EC"/>
    <w:rsid w:val="002222B9"/>
    <w:rsid w:val="00222716"/>
    <w:rsid w:val="00223559"/>
    <w:rsid w:val="00223923"/>
    <w:rsid w:val="00223E89"/>
    <w:rsid w:val="00223F20"/>
    <w:rsid w:val="00225443"/>
    <w:rsid w:val="002255D8"/>
    <w:rsid w:val="00225AF8"/>
    <w:rsid w:val="002277A5"/>
    <w:rsid w:val="00227E6A"/>
    <w:rsid w:val="00227EFE"/>
    <w:rsid w:val="002304ED"/>
    <w:rsid w:val="00230FDF"/>
    <w:rsid w:val="002313F1"/>
    <w:rsid w:val="00231530"/>
    <w:rsid w:val="00232081"/>
    <w:rsid w:val="00232656"/>
    <w:rsid w:val="002336B4"/>
    <w:rsid w:val="00234266"/>
    <w:rsid w:val="002351E2"/>
    <w:rsid w:val="0023524A"/>
    <w:rsid w:val="00235826"/>
    <w:rsid w:val="002359F3"/>
    <w:rsid w:val="00235EDA"/>
    <w:rsid w:val="002363C7"/>
    <w:rsid w:val="00236F4F"/>
    <w:rsid w:val="00237637"/>
    <w:rsid w:val="00237B74"/>
    <w:rsid w:val="00237E76"/>
    <w:rsid w:val="002405D8"/>
    <w:rsid w:val="00240BDA"/>
    <w:rsid w:val="00240C3C"/>
    <w:rsid w:val="00240D27"/>
    <w:rsid w:val="00241076"/>
    <w:rsid w:val="00241B4A"/>
    <w:rsid w:val="00243AC0"/>
    <w:rsid w:val="00243B3B"/>
    <w:rsid w:val="002454A2"/>
    <w:rsid w:val="00246DEC"/>
    <w:rsid w:val="0024779D"/>
    <w:rsid w:val="002479F1"/>
    <w:rsid w:val="002510A0"/>
    <w:rsid w:val="002518A9"/>
    <w:rsid w:val="00251EB5"/>
    <w:rsid w:val="002529C8"/>
    <w:rsid w:val="002529ED"/>
    <w:rsid w:val="00252F8F"/>
    <w:rsid w:val="00253178"/>
    <w:rsid w:val="00253ECD"/>
    <w:rsid w:val="002546BD"/>
    <w:rsid w:val="002557C7"/>
    <w:rsid w:val="00255F12"/>
    <w:rsid w:val="0025632E"/>
    <w:rsid w:val="0025690C"/>
    <w:rsid w:val="00256E3B"/>
    <w:rsid w:val="002572C0"/>
    <w:rsid w:val="002604DD"/>
    <w:rsid w:val="00260C9F"/>
    <w:rsid w:val="0026119E"/>
    <w:rsid w:val="00261866"/>
    <w:rsid w:val="00261D14"/>
    <w:rsid w:val="00261E34"/>
    <w:rsid w:val="00262246"/>
    <w:rsid w:val="00263034"/>
    <w:rsid w:val="00263938"/>
    <w:rsid w:val="00263CE4"/>
    <w:rsid w:val="00264AF4"/>
    <w:rsid w:val="00265649"/>
    <w:rsid w:val="0026574E"/>
    <w:rsid w:val="0026675D"/>
    <w:rsid w:val="002675D4"/>
    <w:rsid w:val="00267A5D"/>
    <w:rsid w:val="00267CAE"/>
    <w:rsid w:val="00270248"/>
    <w:rsid w:val="00270773"/>
    <w:rsid w:val="00270BCD"/>
    <w:rsid w:val="0027117D"/>
    <w:rsid w:val="00271247"/>
    <w:rsid w:val="0027128D"/>
    <w:rsid w:val="00271CF7"/>
    <w:rsid w:val="0027281D"/>
    <w:rsid w:val="0027313B"/>
    <w:rsid w:val="00273C9B"/>
    <w:rsid w:val="00274193"/>
    <w:rsid w:val="00274D0C"/>
    <w:rsid w:val="0027571E"/>
    <w:rsid w:val="00275CD2"/>
    <w:rsid w:val="00275EEC"/>
    <w:rsid w:val="002764C8"/>
    <w:rsid w:val="002768F2"/>
    <w:rsid w:val="00277F1C"/>
    <w:rsid w:val="002806C5"/>
    <w:rsid w:val="00281079"/>
    <w:rsid w:val="002813BB"/>
    <w:rsid w:val="00283472"/>
    <w:rsid w:val="002841D4"/>
    <w:rsid w:val="00284B08"/>
    <w:rsid w:val="00284C5D"/>
    <w:rsid w:val="00284E6B"/>
    <w:rsid w:val="00284EF4"/>
    <w:rsid w:val="00286652"/>
    <w:rsid w:val="00286B23"/>
    <w:rsid w:val="00286D37"/>
    <w:rsid w:val="002873DD"/>
    <w:rsid w:val="00290147"/>
    <w:rsid w:val="00291829"/>
    <w:rsid w:val="00292078"/>
    <w:rsid w:val="0029253A"/>
    <w:rsid w:val="00293841"/>
    <w:rsid w:val="00293B0C"/>
    <w:rsid w:val="00294001"/>
    <w:rsid w:val="00294648"/>
    <w:rsid w:val="0029481F"/>
    <w:rsid w:val="00294883"/>
    <w:rsid w:val="00294D72"/>
    <w:rsid w:val="0029515D"/>
    <w:rsid w:val="00295E53"/>
    <w:rsid w:val="00296A3C"/>
    <w:rsid w:val="00296C8E"/>
    <w:rsid w:val="00297D49"/>
    <w:rsid w:val="002A048F"/>
    <w:rsid w:val="002A0864"/>
    <w:rsid w:val="002A0A89"/>
    <w:rsid w:val="002A2FB4"/>
    <w:rsid w:val="002A3A76"/>
    <w:rsid w:val="002A3E67"/>
    <w:rsid w:val="002A4791"/>
    <w:rsid w:val="002A5060"/>
    <w:rsid w:val="002A63E5"/>
    <w:rsid w:val="002A6D93"/>
    <w:rsid w:val="002B0956"/>
    <w:rsid w:val="002B0C74"/>
    <w:rsid w:val="002B0F03"/>
    <w:rsid w:val="002B0FF4"/>
    <w:rsid w:val="002B27A4"/>
    <w:rsid w:val="002B35A3"/>
    <w:rsid w:val="002B3915"/>
    <w:rsid w:val="002B431B"/>
    <w:rsid w:val="002B4A0F"/>
    <w:rsid w:val="002B4EBF"/>
    <w:rsid w:val="002B5CA7"/>
    <w:rsid w:val="002B7388"/>
    <w:rsid w:val="002B7A12"/>
    <w:rsid w:val="002C0D30"/>
    <w:rsid w:val="002C182D"/>
    <w:rsid w:val="002C453F"/>
    <w:rsid w:val="002C4902"/>
    <w:rsid w:val="002C4976"/>
    <w:rsid w:val="002C4D34"/>
    <w:rsid w:val="002C5C1F"/>
    <w:rsid w:val="002C6329"/>
    <w:rsid w:val="002C6663"/>
    <w:rsid w:val="002C7CA7"/>
    <w:rsid w:val="002D01EC"/>
    <w:rsid w:val="002D0A02"/>
    <w:rsid w:val="002D153A"/>
    <w:rsid w:val="002D1C9A"/>
    <w:rsid w:val="002D1E8A"/>
    <w:rsid w:val="002D270B"/>
    <w:rsid w:val="002D2F14"/>
    <w:rsid w:val="002D31F5"/>
    <w:rsid w:val="002D43BC"/>
    <w:rsid w:val="002D4B1D"/>
    <w:rsid w:val="002D5B6D"/>
    <w:rsid w:val="002D5EA9"/>
    <w:rsid w:val="002D6BE8"/>
    <w:rsid w:val="002D6D52"/>
    <w:rsid w:val="002D7041"/>
    <w:rsid w:val="002D7214"/>
    <w:rsid w:val="002D750A"/>
    <w:rsid w:val="002E03C9"/>
    <w:rsid w:val="002E0939"/>
    <w:rsid w:val="002E1EC2"/>
    <w:rsid w:val="002E238D"/>
    <w:rsid w:val="002E2AE5"/>
    <w:rsid w:val="002E3BC2"/>
    <w:rsid w:val="002E42B1"/>
    <w:rsid w:val="002E4A02"/>
    <w:rsid w:val="002E6A2E"/>
    <w:rsid w:val="002E6B64"/>
    <w:rsid w:val="002E75E4"/>
    <w:rsid w:val="002E778A"/>
    <w:rsid w:val="002F12D7"/>
    <w:rsid w:val="002F1464"/>
    <w:rsid w:val="002F183B"/>
    <w:rsid w:val="002F286E"/>
    <w:rsid w:val="002F2C54"/>
    <w:rsid w:val="002F2DF7"/>
    <w:rsid w:val="002F2FFB"/>
    <w:rsid w:val="002F4652"/>
    <w:rsid w:val="002F4737"/>
    <w:rsid w:val="002F4994"/>
    <w:rsid w:val="002F4C81"/>
    <w:rsid w:val="002F5589"/>
    <w:rsid w:val="002F5945"/>
    <w:rsid w:val="002F598D"/>
    <w:rsid w:val="002F6667"/>
    <w:rsid w:val="002F688C"/>
    <w:rsid w:val="002F7001"/>
    <w:rsid w:val="002F7BDD"/>
    <w:rsid w:val="003007D8"/>
    <w:rsid w:val="00300F93"/>
    <w:rsid w:val="0030166F"/>
    <w:rsid w:val="00301C14"/>
    <w:rsid w:val="00301DC8"/>
    <w:rsid w:val="003023DA"/>
    <w:rsid w:val="003029BA"/>
    <w:rsid w:val="00302AAD"/>
    <w:rsid w:val="00302E4D"/>
    <w:rsid w:val="00302F58"/>
    <w:rsid w:val="003033C0"/>
    <w:rsid w:val="0030376E"/>
    <w:rsid w:val="003038BA"/>
    <w:rsid w:val="00303EB6"/>
    <w:rsid w:val="00304E20"/>
    <w:rsid w:val="00305192"/>
    <w:rsid w:val="00305540"/>
    <w:rsid w:val="003055EF"/>
    <w:rsid w:val="0030667B"/>
    <w:rsid w:val="00306BEA"/>
    <w:rsid w:val="00307F5C"/>
    <w:rsid w:val="0031106A"/>
    <w:rsid w:val="003112CB"/>
    <w:rsid w:val="00311B30"/>
    <w:rsid w:val="00311DD5"/>
    <w:rsid w:val="003120F8"/>
    <w:rsid w:val="0031483A"/>
    <w:rsid w:val="00314FA9"/>
    <w:rsid w:val="00315C6D"/>
    <w:rsid w:val="003167D4"/>
    <w:rsid w:val="00316E33"/>
    <w:rsid w:val="0031764E"/>
    <w:rsid w:val="00317DB4"/>
    <w:rsid w:val="0032071A"/>
    <w:rsid w:val="00321096"/>
    <w:rsid w:val="00321847"/>
    <w:rsid w:val="003227CD"/>
    <w:rsid w:val="003231AA"/>
    <w:rsid w:val="00324325"/>
    <w:rsid w:val="00324CFD"/>
    <w:rsid w:val="0032521E"/>
    <w:rsid w:val="00325548"/>
    <w:rsid w:val="00325E21"/>
    <w:rsid w:val="00326410"/>
    <w:rsid w:val="003300C9"/>
    <w:rsid w:val="00330D9F"/>
    <w:rsid w:val="003318BD"/>
    <w:rsid w:val="00331B4E"/>
    <w:rsid w:val="0033286D"/>
    <w:rsid w:val="00332885"/>
    <w:rsid w:val="00332CE4"/>
    <w:rsid w:val="00333E8A"/>
    <w:rsid w:val="00336512"/>
    <w:rsid w:val="00336C19"/>
    <w:rsid w:val="003374BF"/>
    <w:rsid w:val="00337744"/>
    <w:rsid w:val="00337759"/>
    <w:rsid w:val="003411D3"/>
    <w:rsid w:val="00341869"/>
    <w:rsid w:val="00343660"/>
    <w:rsid w:val="0034384C"/>
    <w:rsid w:val="0034389D"/>
    <w:rsid w:val="00343E2B"/>
    <w:rsid w:val="00345AF5"/>
    <w:rsid w:val="0034743E"/>
    <w:rsid w:val="00350653"/>
    <w:rsid w:val="00351529"/>
    <w:rsid w:val="00351FF8"/>
    <w:rsid w:val="00352D2D"/>
    <w:rsid w:val="00352D79"/>
    <w:rsid w:val="003531D5"/>
    <w:rsid w:val="003533E8"/>
    <w:rsid w:val="00353986"/>
    <w:rsid w:val="00353B1B"/>
    <w:rsid w:val="003541CC"/>
    <w:rsid w:val="00355E9D"/>
    <w:rsid w:val="003563C0"/>
    <w:rsid w:val="003566B5"/>
    <w:rsid w:val="003568EF"/>
    <w:rsid w:val="00357FA1"/>
    <w:rsid w:val="00360414"/>
    <w:rsid w:val="003606B4"/>
    <w:rsid w:val="00360CA5"/>
    <w:rsid w:val="00360E63"/>
    <w:rsid w:val="003611B0"/>
    <w:rsid w:val="00361330"/>
    <w:rsid w:val="00362239"/>
    <w:rsid w:val="0036336A"/>
    <w:rsid w:val="0036356D"/>
    <w:rsid w:val="003642E9"/>
    <w:rsid w:val="00364B6E"/>
    <w:rsid w:val="00364BC8"/>
    <w:rsid w:val="00364CEB"/>
    <w:rsid w:val="00365002"/>
    <w:rsid w:val="0036557E"/>
    <w:rsid w:val="00366543"/>
    <w:rsid w:val="0036787E"/>
    <w:rsid w:val="003678DD"/>
    <w:rsid w:val="00367DCE"/>
    <w:rsid w:val="0037108F"/>
    <w:rsid w:val="003720C7"/>
    <w:rsid w:val="00372133"/>
    <w:rsid w:val="003721BB"/>
    <w:rsid w:val="0037254C"/>
    <w:rsid w:val="00372DF9"/>
    <w:rsid w:val="00373CB0"/>
    <w:rsid w:val="00374C9C"/>
    <w:rsid w:val="0037711F"/>
    <w:rsid w:val="0037773A"/>
    <w:rsid w:val="0037774B"/>
    <w:rsid w:val="00377CA6"/>
    <w:rsid w:val="003802CF"/>
    <w:rsid w:val="00380328"/>
    <w:rsid w:val="00381810"/>
    <w:rsid w:val="00382489"/>
    <w:rsid w:val="00382675"/>
    <w:rsid w:val="00382DD3"/>
    <w:rsid w:val="00383676"/>
    <w:rsid w:val="0038388C"/>
    <w:rsid w:val="00383958"/>
    <w:rsid w:val="00383CF7"/>
    <w:rsid w:val="00383E96"/>
    <w:rsid w:val="003854DA"/>
    <w:rsid w:val="0038569C"/>
    <w:rsid w:val="00385727"/>
    <w:rsid w:val="00386486"/>
    <w:rsid w:val="00386FCB"/>
    <w:rsid w:val="00387C03"/>
    <w:rsid w:val="003902F9"/>
    <w:rsid w:val="003915E1"/>
    <w:rsid w:val="00392107"/>
    <w:rsid w:val="003924E4"/>
    <w:rsid w:val="0039253B"/>
    <w:rsid w:val="0039318E"/>
    <w:rsid w:val="0039396F"/>
    <w:rsid w:val="00394213"/>
    <w:rsid w:val="00394881"/>
    <w:rsid w:val="00394957"/>
    <w:rsid w:val="0039500C"/>
    <w:rsid w:val="0039522A"/>
    <w:rsid w:val="00395A0D"/>
    <w:rsid w:val="0039689C"/>
    <w:rsid w:val="003972F4"/>
    <w:rsid w:val="00397B36"/>
    <w:rsid w:val="003A0738"/>
    <w:rsid w:val="003A17F2"/>
    <w:rsid w:val="003A1BCA"/>
    <w:rsid w:val="003A204E"/>
    <w:rsid w:val="003A2359"/>
    <w:rsid w:val="003A2CC9"/>
    <w:rsid w:val="003A3816"/>
    <w:rsid w:val="003A3D1C"/>
    <w:rsid w:val="003A40E7"/>
    <w:rsid w:val="003A4D13"/>
    <w:rsid w:val="003A4E06"/>
    <w:rsid w:val="003A56A9"/>
    <w:rsid w:val="003A5AD9"/>
    <w:rsid w:val="003A5E31"/>
    <w:rsid w:val="003A7FF3"/>
    <w:rsid w:val="003B0595"/>
    <w:rsid w:val="003B0844"/>
    <w:rsid w:val="003B1F30"/>
    <w:rsid w:val="003B28B3"/>
    <w:rsid w:val="003B31DC"/>
    <w:rsid w:val="003B3B2E"/>
    <w:rsid w:val="003B3D20"/>
    <w:rsid w:val="003B3E47"/>
    <w:rsid w:val="003B4A3E"/>
    <w:rsid w:val="003B4C76"/>
    <w:rsid w:val="003B5FF4"/>
    <w:rsid w:val="003B6908"/>
    <w:rsid w:val="003B6F12"/>
    <w:rsid w:val="003B71E1"/>
    <w:rsid w:val="003B7A5C"/>
    <w:rsid w:val="003B7B0F"/>
    <w:rsid w:val="003C0225"/>
    <w:rsid w:val="003C1956"/>
    <w:rsid w:val="003C1E63"/>
    <w:rsid w:val="003C26F6"/>
    <w:rsid w:val="003C35B7"/>
    <w:rsid w:val="003C36CC"/>
    <w:rsid w:val="003C37A7"/>
    <w:rsid w:val="003C3ACC"/>
    <w:rsid w:val="003C5015"/>
    <w:rsid w:val="003C546E"/>
    <w:rsid w:val="003C549D"/>
    <w:rsid w:val="003C6101"/>
    <w:rsid w:val="003C63ED"/>
    <w:rsid w:val="003C66A6"/>
    <w:rsid w:val="003C6A41"/>
    <w:rsid w:val="003C6C03"/>
    <w:rsid w:val="003C70BE"/>
    <w:rsid w:val="003C750C"/>
    <w:rsid w:val="003C7F40"/>
    <w:rsid w:val="003D234F"/>
    <w:rsid w:val="003D2769"/>
    <w:rsid w:val="003D2EF9"/>
    <w:rsid w:val="003D3B5E"/>
    <w:rsid w:val="003D5472"/>
    <w:rsid w:val="003D5476"/>
    <w:rsid w:val="003D5696"/>
    <w:rsid w:val="003D656C"/>
    <w:rsid w:val="003D686E"/>
    <w:rsid w:val="003D7924"/>
    <w:rsid w:val="003E0591"/>
    <w:rsid w:val="003E0AE7"/>
    <w:rsid w:val="003E0FCF"/>
    <w:rsid w:val="003E11EE"/>
    <w:rsid w:val="003E2227"/>
    <w:rsid w:val="003E232F"/>
    <w:rsid w:val="003E2405"/>
    <w:rsid w:val="003E2579"/>
    <w:rsid w:val="003E25A0"/>
    <w:rsid w:val="003E2A0A"/>
    <w:rsid w:val="003E2BEB"/>
    <w:rsid w:val="003E2C05"/>
    <w:rsid w:val="003E2F76"/>
    <w:rsid w:val="003E3503"/>
    <w:rsid w:val="003E396F"/>
    <w:rsid w:val="003E4026"/>
    <w:rsid w:val="003E466C"/>
    <w:rsid w:val="003E5F75"/>
    <w:rsid w:val="003E623F"/>
    <w:rsid w:val="003E678E"/>
    <w:rsid w:val="003E73EC"/>
    <w:rsid w:val="003E76C4"/>
    <w:rsid w:val="003F03CB"/>
    <w:rsid w:val="003F0672"/>
    <w:rsid w:val="003F0763"/>
    <w:rsid w:val="003F0B09"/>
    <w:rsid w:val="003F134B"/>
    <w:rsid w:val="003F2232"/>
    <w:rsid w:val="003F30A3"/>
    <w:rsid w:val="003F30C0"/>
    <w:rsid w:val="003F5814"/>
    <w:rsid w:val="003F58A6"/>
    <w:rsid w:val="003F5D30"/>
    <w:rsid w:val="003F5FEF"/>
    <w:rsid w:val="003F6061"/>
    <w:rsid w:val="003F6BE7"/>
    <w:rsid w:val="003F72AF"/>
    <w:rsid w:val="003F7B93"/>
    <w:rsid w:val="004008E2"/>
    <w:rsid w:val="00401474"/>
    <w:rsid w:val="0040149F"/>
    <w:rsid w:val="00401891"/>
    <w:rsid w:val="00402581"/>
    <w:rsid w:val="00403230"/>
    <w:rsid w:val="004046CA"/>
    <w:rsid w:val="004047A2"/>
    <w:rsid w:val="004048C4"/>
    <w:rsid w:val="00405278"/>
    <w:rsid w:val="00405520"/>
    <w:rsid w:val="00405905"/>
    <w:rsid w:val="00405D55"/>
    <w:rsid w:val="0040673E"/>
    <w:rsid w:val="00406A44"/>
    <w:rsid w:val="00406BAC"/>
    <w:rsid w:val="0040745A"/>
    <w:rsid w:val="00407644"/>
    <w:rsid w:val="00407984"/>
    <w:rsid w:val="00410266"/>
    <w:rsid w:val="00410E6F"/>
    <w:rsid w:val="004117A9"/>
    <w:rsid w:val="00411B39"/>
    <w:rsid w:val="004125AB"/>
    <w:rsid w:val="004125CB"/>
    <w:rsid w:val="004126F0"/>
    <w:rsid w:val="00413726"/>
    <w:rsid w:val="004147D2"/>
    <w:rsid w:val="00414960"/>
    <w:rsid w:val="004149F1"/>
    <w:rsid w:val="00414D8E"/>
    <w:rsid w:val="00415411"/>
    <w:rsid w:val="00416659"/>
    <w:rsid w:val="00420293"/>
    <w:rsid w:val="004219F5"/>
    <w:rsid w:val="0042290D"/>
    <w:rsid w:val="004241AE"/>
    <w:rsid w:val="004247A4"/>
    <w:rsid w:val="00424AE9"/>
    <w:rsid w:val="00425294"/>
    <w:rsid w:val="004257BA"/>
    <w:rsid w:val="00425F57"/>
    <w:rsid w:val="0042669E"/>
    <w:rsid w:val="00426748"/>
    <w:rsid w:val="004273BD"/>
    <w:rsid w:val="00427510"/>
    <w:rsid w:val="00430E2D"/>
    <w:rsid w:val="0043166A"/>
    <w:rsid w:val="00431AF0"/>
    <w:rsid w:val="00431B8F"/>
    <w:rsid w:val="00431EC6"/>
    <w:rsid w:val="00432E03"/>
    <w:rsid w:val="00432F10"/>
    <w:rsid w:val="004349DD"/>
    <w:rsid w:val="00434AAE"/>
    <w:rsid w:val="0043517A"/>
    <w:rsid w:val="0043521C"/>
    <w:rsid w:val="00435A9A"/>
    <w:rsid w:val="004364A7"/>
    <w:rsid w:val="00436AB0"/>
    <w:rsid w:val="0043706C"/>
    <w:rsid w:val="004373AF"/>
    <w:rsid w:val="00437DDC"/>
    <w:rsid w:val="00440610"/>
    <w:rsid w:val="004407FF"/>
    <w:rsid w:val="00440930"/>
    <w:rsid w:val="00440C44"/>
    <w:rsid w:val="00440C4A"/>
    <w:rsid w:val="004418DF"/>
    <w:rsid w:val="00442A2C"/>
    <w:rsid w:val="004432C9"/>
    <w:rsid w:val="004433A4"/>
    <w:rsid w:val="00443831"/>
    <w:rsid w:val="004459F7"/>
    <w:rsid w:val="00445B09"/>
    <w:rsid w:val="00446466"/>
    <w:rsid w:val="00446B72"/>
    <w:rsid w:val="00446CE1"/>
    <w:rsid w:val="0044744D"/>
    <w:rsid w:val="0044759A"/>
    <w:rsid w:val="004503C8"/>
    <w:rsid w:val="00450968"/>
    <w:rsid w:val="00450EFC"/>
    <w:rsid w:val="0045158A"/>
    <w:rsid w:val="00452169"/>
    <w:rsid w:val="00453D42"/>
    <w:rsid w:val="00453FDD"/>
    <w:rsid w:val="00454B96"/>
    <w:rsid w:val="00454E7D"/>
    <w:rsid w:val="00454F9B"/>
    <w:rsid w:val="00456089"/>
    <w:rsid w:val="004568DD"/>
    <w:rsid w:val="00456B6C"/>
    <w:rsid w:val="00456BE1"/>
    <w:rsid w:val="00457990"/>
    <w:rsid w:val="00457C9B"/>
    <w:rsid w:val="004600DD"/>
    <w:rsid w:val="00460B55"/>
    <w:rsid w:val="00461AE9"/>
    <w:rsid w:val="00461C93"/>
    <w:rsid w:val="00461E47"/>
    <w:rsid w:val="004633F5"/>
    <w:rsid w:val="004635D8"/>
    <w:rsid w:val="004636CE"/>
    <w:rsid w:val="00463AC0"/>
    <w:rsid w:val="00464024"/>
    <w:rsid w:val="00464299"/>
    <w:rsid w:val="004648F1"/>
    <w:rsid w:val="004654D8"/>
    <w:rsid w:val="00465E77"/>
    <w:rsid w:val="00466D89"/>
    <w:rsid w:val="004673B8"/>
    <w:rsid w:val="004702D4"/>
    <w:rsid w:val="0047051C"/>
    <w:rsid w:val="004705A0"/>
    <w:rsid w:val="0047155E"/>
    <w:rsid w:val="004718DC"/>
    <w:rsid w:val="004743D7"/>
    <w:rsid w:val="0047531F"/>
    <w:rsid w:val="00475DAF"/>
    <w:rsid w:val="004762C5"/>
    <w:rsid w:val="004766F7"/>
    <w:rsid w:val="00477070"/>
    <w:rsid w:val="00477C7A"/>
    <w:rsid w:val="00480D12"/>
    <w:rsid w:val="00480F7D"/>
    <w:rsid w:val="00480FB4"/>
    <w:rsid w:val="0048119A"/>
    <w:rsid w:val="00481B89"/>
    <w:rsid w:val="00482A1C"/>
    <w:rsid w:val="00483657"/>
    <w:rsid w:val="00484D2E"/>
    <w:rsid w:val="00485AF6"/>
    <w:rsid w:val="0048756C"/>
    <w:rsid w:val="00487B3F"/>
    <w:rsid w:val="004902D8"/>
    <w:rsid w:val="00490D1B"/>
    <w:rsid w:val="00490D91"/>
    <w:rsid w:val="00491D54"/>
    <w:rsid w:val="004922AE"/>
    <w:rsid w:val="00492567"/>
    <w:rsid w:val="00493D26"/>
    <w:rsid w:val="00495453"/>
    <w:rsid w:val="004957CE"/>
    <w:rsid w:val="00495C9D"/>
    <w:rsid w:val="00496216"/>
    <w:rsid w:val="0049741A"/>
    <w:rsid w:val="004A121A"/>
    <w:rsid w:val="004A129B"/>
    <w:rsid w:val="004A1419"/>
    <w:rsid w:val="004A18C4"/>
    <w:rsid w:val="004A4E62"/>
    <w:rsid w:val="004A5C69"/>
    <w:rsid w:val="004A6821"/>
    <w:rsid w:val="004A6FE6"/>
    <w:rsid w:val="004A7152"/>
    <w:rsid w:val="004A7781"/>
    <w:rsid w:val="004A7C22"/>
    <w:rsid w:val="004A7E4A"/>
    <w:rsid w:val="004B00A9"/>
    <w:rsid w:val="004B03C4"/>
    <w:rsid w:val="004B119C"/>
    <w:rsid w:val="004B1B34"/>
    <w:rsid w:val="004B2434"/>
    <w:rsid w:val="004B2453"/>
    <w:rsid w:val="004B3133"/>
    <w:rsid w:val="004B437E"/>
    <w:rsid w:val="004B446E"/>
    <w:rsid w:val="004B5D79"/>
    <w:rsid w:val="004B6B5A"/>
    <w:rsid w:val="004B75C5"/>
    <w:rsid w:val="004B7880"/>
    <w:rsid w:val="004B7A69"/>
    <w:rsid w:val="004B7BCA"/>
    <w:rsid w:val="004B7DA5"/>
    <w:rsid w:val="004C0700"/>
    <w:rsid w:val="004C107B"/>
    <w:rsid w:val="004C1BEE"/>
    <w:rsid w:val="004C1FB9"/>
    <w:rsid w:val="004C3388"/>
    <w:rsid w:val="004C45DC"/>
    <w:rsid w:val="004C4EA8"/>
    <w:rsid w:val="004C52BC"/>
    <w:rsid w:val="004C61FE"/>
    <w:rsid w:val="004C6384"/>
    <w:rsid w:val="004C688B"/>
    <w:rsid w:val="004C688C"/>
    <w:rsid w:val="004C688F"/>
    <w:rsid w:val="004C69F8"/>
    <w:rsid w:val="004C7613"/>
    <w:rsid w:val="004D0206"/>
    <w:rsid w:val="004D0F9A"/>
    <w:rsid w:val="004D14ED"/>
    <w:rsid w:val="004D19D1"/>
    <w:rsid w:val="004D213D"/>
    <w:rsid w:val="004D24ED"/>
    <w:rsid w:val="004D270A"/>
    <w:rsid w:val="004D2A0D"/>
    <w:rsid w:val="004D3DF4"/>
    <w:rsid w:val="004D4288"/>
    <w:rsid w:val="004D476A"/>
    <w:rsid w:val="004D51B6"/>
    <w:rsid w:val="004D5455"/>
    <w:rsid w:val="004D5640"/>
    <w:rsid w:val="004D623D"/>
    <w:rsid w:val="004D630A"/>
    <w:rsid w:val="004D77CB"/>
    <w:rsid w:val="004E006E"/>
    <w:rsid w:val="004E0F72"/>
    <w:rsid w:val="004E1076"/>
    <w:rsid w:val="004E1735"/>
    <w:rsid w:val="004E1B6E"/>
    <w:rsid w:val="004E1DDB"/>
    <w:rsid w:val="004E256B"/>
    <w:rsid w:val="004E29FB"/>
    <w:rsid w:val="004E427C"/>
    <w:rsid w:val="004E4505"/>
    <w:rsid w:val="004E4D1C"/>
    <w:rsid w:val="004E4DD5"/>
    <w:rsid w:val="004E59A6"/>
    <w:rsid w:val="004E5A3B"/>
    <w:rsid w:val="004E5C7C"/>
    <w:rsid w:val="004E6340"/>
    <w:rsid w:val="004E711D"/>
    <w:rsid w:val="004E7F98"/>
    <w:rsid w:val="004F0C6D"/>
    <w:rsid w:val="004F14CD"/>
    <w:rsid w:val="004F1882"/>
    <w:rsid w:val="004F1A95"/>
    <w:rsid w:val="004F2422"/>
    <w:rsid w:val="004F44E7"/>
    <w:rsid w:val="004F582F"/>
    <w:rsid w:val="004F58EB"/>
    <w:rsid w:val="004F5DAA"/>
    <w:rsid w:val="004F6630"/>
    <w:rsid w:val="004F6794"/>
    <w:rsid w:val="004F683F"/>
    <w:rsid w:val="004F6B6F"/>
    <w:rsid w:val="004F6BA9"/>
    <w:rsid w:val="004F72BE"/>
    <w:rsid w:val="004F7A5F"/>
    <w:rsid w:val="0050157D"/>
    <w:rsid w:val="00501622"/>
    <w:rsid w:val="00501AF1"/>
    <w:rsid w:val="00501C76"/>
    <w:rsid w:val="0050201D"/>
    <w:rsid w:val="005020B0"/>
    <w:rsid w:val="00502E3E"/>
    <w:rsid w:val="00503CFC"/>
    <w:rsid w:val="00504BDA"/>
    <w:rsid w:val="00506B77"/>
    <w:rsid w:val="0050704C"/>
    <w:rsid w:val="0050704F"/>
    <w:rsid w:val="00507C1B"/>
    <w:rsid w:val="0051012D"/>
    <w:rsid w:val="00510456"/>
    <w:rsid w:val="00510890"/>
    <w:rsid w:val="00511358"/>
    <w:rsid w:val="0051165F"/>
    <w:rsid w:val="0051202E"/>
    <w:rsid w:val="00512AB4"/>
    <w:rsid w:val="00512C9F"/>
    <w:rsid w:val="00512F68"/>
    <w:rsid w:val="0051367A"/>
    <w:rsid w:val="005137E9"/>
    <w:rsid w:val="00513B72"/>
    <w:rsid w:val="005146EB"/>
    <w:rsid w:val="00515555"/>
    <w:rsid w:val="00515F8A"/>
    <w:rsid w:val="00516591"/>
    <w:rsid w:val="0051665E"/>
    <w:rsid w:val="00517081"/>
    <w:rsid w:val="005173EC"/>
    <w:rsid w:val="00517C8C"/>
    <w:rsid w:val="00520847"/>
    <w:rsid w:val="00521757"/>
    <w:rsid w:val="00521805"/>
    <w:rsid w:val="0052220C"/>
    <w:rsid w:val="00522260"/>
    <w:rsid w:val="005237D4"/>
    <w:rsid w:val="00523A1F"/>
    <w:rsid w:val="00524629"/>
    <w:rsid w:val="005256C9"/>
    <w:rsid w:val="0052573A"/>
    <w:rsid w:val="0052603F"/>
    <w:rsid w:val="005261C3"/>
    <w:rsid w:val="0053046F"/>
    <w:rsid w:val="00530D2D"/>
    <w:rsid w:val="00530F4A"/>
    <w:rsid w:val="00531B17"/>
    <w:rsid w:val="00531F22"/>
    <w:rsid w:val="005328EF"/>
    <w:rsid w:val="00532BB5"/>
    <w:rsid w:val="00532D87"/>
    <w:rsid w:val="00534481"/>
    <w:rsid w:val="0053455E"/>
    <w:rsid w:val="00534915"/>
    <w:rsid w:val="005349C8"/>
    <w:rsid w:val="00534A7C"/>
    <w:rsid w:val="0053534B"/>
    <w:rsid w:val="00535B0B"/>
    <w:rsid w:val="00535DEC"/>
    <w:rsid w:val="00537889"/>
    <w:rsid w:val="00537D47"/>
    <w:rsid w:val="00540F97"/>
    <w:rsid w:val="00542C6A"/>
    <w:rsid w:val="00543718"/>
    <w:rsid w:val="005438C9"/>
    <w:rsid w:val="005439AA"/>
    <w:rsid w:val="00543AB5"/>
    <w:rsid w:val="00544D6D"/>
    <w:rsid w:val="00544F3A"/>
    <w:rsid w:val="005458F4"/>
    <w:rsid w:val="00546190"/>
    <w:rsid w:val="00546CAA"/>
    <w:rsid w:val="00547ECA"/>
    <w:rsid w:val="0055004F"/>
    <w:rsid w:val="00550168"/>
    <w:rsid w:val="005515CC"/>
    <w:rsid w:val="00552001"/>
    <w:rsid w:val="00552144"/>
    <w:rsid w:val="00553091"/>
    <w:rsid w:val="0055343F"/>
    <w:rsid w:val="005534C5"/>
    <w:rsid w:val="005536FF"/>
    <w:rsid w:val="005539C2"/>
    <w:rsid w:val="00554F01"/>
    <w:rsid w:val="00555EBE"/>
    <w:rsid w:val="00556766"/>
    <w:rsid w:val="00556BD7"/>
    <w:rsid w:val="00560769"/>
    <w:rsid w:val="00561553"/>
    <w:rsid w:val="00562072"/>
    <w:rsid w:val="0056209C"/>
    <w:rsid w:val="00562B4E"/>
    <w:rsid w:val="0056320A"/>
    <w:rsid w:val="005637EC"/>
    <w:rsid w:val="0056393C"/>
    <w:rsid w:val="0056393D"/>
    <w:rsid w:val="00563E68"/>
    <w:rsid w:val="00564411"/>
    <w:rsid w:val="00565113"/>
    <w:rsid w:val="005656AC"/>
    <w:rsid w:val="005659F0"/>
    <w:rsid w:val="00565D77"/>
    <w:rsid w:val="00566414"/>
    <w:rsid w:val="00566481"/>
    <w:rsid w:val="0056676B"/>
    <w:rsid w:val="00566ECA"/>
    <w:rsid w:val="005674EF"/>
    <w:rsid w:val="0056785F"/>
    <w:rsid w:val="00567C51"/>
    <w:rsid w:val="00567FD3"/>
    <w:rsid w:val="0057016F"/>
    <w:rsid w:val="00570C84"/>
    <w:rsid w:val="00571D1F"/>
    <w:rsid w:val="005722F5"/>
    <w:rsid w:val="005727CF"/>
    <w:rsid w:val="00572B52"/>
    <w:rsid w:val="005736B6"/>
    <w:rsid w:val="005739CF"/>
    <w:rsid w:val="00574493"/>
    <w:rsid w:val="00574A8B"/>
    <w:rsid w:val="00575452"/>
    <w:rsid w:val="00575597"/>
    <w:rsid w:val="00575763"/>
    <w:rsid w:val="00575776"/>
    <w:rsid w:val="00575D3B"/>
    <w:rsid w:val="00576706"/>
    <w:rsid w:val="00576749"/>
    <w:rsid w:val="00576F52"/>
    <w:rsid w:val="00580722"/>
    <w:rsid w:val="00580E86"/>
    <w:rsid w:val="0058128C"/>
    <w:rsid w:val="00581F06"/>
    <w:rsid w:val="00582094"/>
    <w:rsid w:val="005822E3"/>
    <w:rsid w:val="005824E3"/>
    <w:rsid w:val="00582688"/>
    <w:rsid w:val="00582A1E"/>
    <w:rsid w:val="005830AE"/>
    <w:rsid w:val="00583E21"/>
    <w:rsid w:val="005840D7"/>
    <w:rsid w:val="0058423F"/>
    <w:rsid w:val="0058458E"/>
    <w:rsid w:val="00584C17"/>
    <w:rsid w:val="00586FF6"/>
    <w:rsid w:val="0058747C"/>
    <w:rsid w:val="005874AF"/>
    <w:rsid w:val="005879ED"/>
    <w:rsid w:val="00590155"/>
    <w:rsid w:val="00590F6A"/>
    <w:rsid w:val="005910CD"/>
    <w:rsid w:val="00591A52"/>
    <w:rsid w:val="00591C63"/>
    <w:rsid w:val="00591C79"/>
    <w:rsid w:val="005925EA"/>
    <w:rsid w:val="00592856"/>
    <w:rsid w:val="00592F0D"/>
    <w:rsid w:val="00593386"/>
    <w:rsid w:val="00593A42"/>
    <w:rsid w:val="00593F21"/>
    <w:rsid w:val="00594C1D"/>
    <w:rsid w:val="00594DB2"/>
    <w:rsid w:val="00594DBE"/>
    <w:rsid w:val="00595110"/>
    <w:rsid w:val="00595FDD"/>
    <w:rsid w:val="00596A1A"/>
    <w:rsid w:val="00597649"/>
    <w:rsid w:val="005A17D7"/>
    <w:rsid w:val="005A30F8"/>
    <w:rsid w:val="005A4096"/>
    <w:rsid w:val="005A4129"/>
    <w:rsid w:val="005A4793"/>
    <w:rsid w:val="005A5106"/>
    <w:rsid w:val="005A5476"/>
    <w:rsid w:val="005A5A0D"/>
    <w:rsid w:val="005A6139"/>
    <w:rsid w:val="005A6266"/>
    <w:rsid w:val="005A63F4"/>
    <w:rsid w:val="005A730E"/>
    <w:rsid w:val="005A7DC1"/>
    <w:rsid w:val="005A7E2D"/>
    <w:rsid w:val="005A7FE5"/>
    <w:rsid w:val="005B0AC7"/>
    <w:rsid w:val="005B1783"/>
    <w:rsid w:val="005B198C"/>
    <w:rsid w:val="005B1B74"/>
    <w:rsid w:val="005B1D0C"/>
    <w:rsid w:val="005B226D"/>
    <w:rsid w:val="005B2FDD"/>
    <w:rsid w:val="005B4667"/>
    <w:rsid w:val="005B61AB"/>
    <w:rsid w:val="005B6524"/>
    <w:rsid w:val="005B659B"/>
    <w:rsid w:val="005B6AEC"/>
    <w:rsid w:val="005B6B76"/>
    <w:rsid w:val="005B6E32"/>
    <w:rsid w:val="005B6E4B"/>
    <w:rsid w:val="005B73B5"/>
    <w:rsid w:val="005B7455"/>
    <w:rsid w:val="005B75D3"/>
    <w:rsid w:val="005B7A0D"/>
    <w:rsid w:val="005C0239"/>
    <w:rsid w:val="005C03E5"/>
    <w:rsid w:val="005C1830"/>
    <w:rsid w:val="005C18FF"/>
    <w:rsid w:val="005C2AC9"/>
    <w:rsid w:val="005C3072"/>
    <w:rsid w:val="005C32B3"/>
    <w:rsid w:val="005C3AAD"/>
    <w:rsid w:val="005C40D1"/>
    <w:rsid w:val="005C42F5"/>
    <w:rsid w:val="005C443A"/>
    <w:rsid w:val="005C45D1"/>
    <w:rsid w:val="005C5343"/>
    <w:rsid w:val="005C58E5"/>
    <w:rsid w:val="005C5F47"/>
    <w:rsid w:val="005C66B0"/>
    <w:rsid w:val="005C6DF9"/>
    <w:rsid w:val="005C7764"/>
    <w:rsid w:val="005C79AE"/>
    <w:rsid w:val="005C7EAD"/>
    <w:rsid w:val="005D074B"/>
    <w:rsid w:val="005D1B71"/>
    <w:rsid w:val="005D1C0C"/>
    <w:rsid w:val="005D2790"/>
    <w:rsid w:val="005D29E3"/>
    <w:rsid w:val="005D2A7F"/>
    <w:rsid w:val="005D36B3"/>
    <w:rsid w:val="005D3B3B"/>
    <w:rsid w:val="005D43E3"/>
    <w:rsid w:val="005D46DD"/>
    <w:rsid w:val="005D5F61"/>
    <w:rsid w:val="005D6896"/>
    <w:rsid w:val="005D79F3"/>
    <w:rsid w:val="005D7A17"/>
    <w:rsid w:val="005E11F2"/>
    <w:rsid w:val="005E256C"/>
    <w:rsid w:val="005E5237"/>
    <w:rsid w:val="005E52F3"/>
    <w:rsid w:val="005E5A85"/>
    <w:rsid w:val="005E5B3D"/>
    <w:rsid w:val="005E7C0F"/>
    <w:rsid w:val="005F0019"/>
    <w:rsid w:val="005F06D3"/>
    <w:rsid w:val="005F080F"/>
    <w:rsid w:val="005F0968"/>
    <w:rsid w:val="005F1272"/>
    <w:rsid w:val="005F12B0"/>
    <w:rsid w:val="005F13A6"/>
    <w:rsid w:val="005F1A54"/>
    <w:rsid w:val="005F1AB2"/>
    <w:rsid w:val="005F1BAB"/>
    <w:rsid w:val="005F1F60"/>
    <w:rsid w:val="005F70EB"/>
    <w:rsid w:val="00600C43"/>
    <w:rsid w:val="00600C8D"/>
    <w:rsid w:val="00601C12"/>
    <w:rsid w:val="006020C9"/>
    <w:rsid w:val="00602192"/>
    <w:rsid w:val="00602219"/>
    <w:rsid w:val="00603620"/>
    <w:rsid w:val="00603A5E"/>
    <w:rsid w:val="00603FEC"/>
    <w:rsid w:val="00604C85"/>
    <w:rsid w:val="006057E3"/>
    <w:rsid w:val="00605A67"/>
    <w:rsid w:val="00605FEC"/>
    <w:rsid w:val="006067B1"/>
    <w:rsid w:val="006069B9"/>
    <w:rsid w:val="00606D31"/>
    <w:rsid w:val="0060762F"/>
    <w:rsid w:val="006079C6"/>
    <w:rsid w:val="00607DD2"/>
    <w:rsid w:val="006103A8"/>
    <w:rsid w:val="006104CB"/>
    <w:rsid w:val="00611041"/>
    <w:rsid w:val="006119D6"/>
    <w:rsid w:val="00614180"/>
    <w:rsid w:val="00614455"/>
    <w:rsid w:val="0061543C"/>
    <w:rsid w:val="00615B16"/>
    <w:rsid w:val="006173CE"/>
    <w:rsid w:val="006179D7"/>
    <w:rsid w:val="006203ED"/>
    <w:rsid w:val="00620930"/>
    <w:rsid w:val="00621614"/>
    <w:rsid w:val="00621716"/>
    <w:rsid w:val="00622387"/>
    <w:rsid w:val="0062286F"/>
    <w:rsid w:val="006229A1"/>
    <w:rsid w:val="00622C01"/>
    <w:rsid w:val="006233A3"/>
    <w:rsid w:val="006238E5"/>
    <w:rsid w:val="00623960"/>
    <w:rsid w:val="006246DC"/>
    <w:rsid w:val="0062501B"/>
    <w:rsid w:val="006258B4"/>
    <w:rsid w:val="006266B3"/>
    <w:rsid w:val="00626B63"/>
    <w:rsid w:val="00626B78"/>
    <w:rsid w:val="00626B95"/>
    <w:rsid w:val="00626DCC"/>
    <w:rsid w:val="00626E8D"/>
    <w:rsid w:val="00627730"/>
    <w:rsid w:val="00630383"/>
    <w:rsid w:val="0063051E"/>
    <w:rsid w:val="00631702"/>
    <w:rsid w:val="00631AD2"/>
    <w:rsid w:val="00632A1B"/>
    <w:rsid w:val="00632D29"/>
    <w:rsid w:val="006333DD"/>
    <w:rsid w:val="0063428B"/>
    <w:rsid w:val="00634492"/>
    <w:rsid w:val="006348E2"/>
    <w:rsid w:val="00635EB9"/>
    <w:rsid w:val="006360A6"/>
    <w:rsid w:val="006362E4"/>
    <w:rsid w:val="00636E1D"/>
    <w:rsid w:val="006379CB"/>
    <w:rsid w:val="00637BA1"/>
    <w:rsid w:val="00637E55"/>
    <w:rsid w:val="0064000D"/>
    <w:rsid w:val="00640164"/>
    <w:rsid w:val="006401B9"/>
    <w:rsid w:val="006401C1"/>
    <w:rsid w:val="006406F9"/>
    <w:rsid w:val="0064083E"/>
    <w:rsid w:val="006410AE"/>
    <w:rsid w:val="006415B0"/>
    <w:rsid w:val="00641D3F"/>
    <w:rsid w:val="006425AF"/>
    <w:rsid w:val="00642B9A"/>
    <w:rsid w:val="00644142"/>
    <w:rsid w:val="006442E4"/>
    <w:rsid w:val="006452D7"/>
    <w:rsid w:val="00646A0F"/>
    <w:rsid w:val="006470FA"/>
    <w:rsid w:val="0064781E"/>
    <w:rsid w:val="006506ED"/>
    <w:rsid w:val="00651400"/>
    <w:rsid w:val="00651E76"/>
    <w:rsid w:val="00652517"/>
    <w:rsid w:val="00652EC4"/>
    <w:rsid w:val="006533A0"/>
    <w:rsid w:val="00653DFB"/>
    <w:rsid w:val="00654E06"/>
    <w:rsid w:val="006555E6"/>
    <w:rsid w:val="00655880"/>
    <w:rsid w:val="006559B8"/>
    <w:rsid w:val="00655DDA"/>
    <w:rsid w:val="0065644B"/>
    <w:rsid w:val="0065650F"/>
    <w:rsid w:val="00656D6C"/>
    <w:rsid w:val="00661EE2"/>
    <w:rsid w:val="006623FB"/>
    <w:rsid w:val="00662A29"/>
    <w:rsid w:val="0066308C"/>
    <w:rsid w:val="006630BA"/>
    <w:rsid w:val="00663630"/>
    <w:rsid w:val="006639AE"/>
    <w:rsid w:val="00663ACC"/>
    <w:rsid w:val="00663E58"/>
    <w:rsid w:val="00663FF9"/>
    <w:rsid w:val="006643D1"/>
    <w:rsid w:val="006643DA"/>
    <w:rsid w:val="00664BC6"/>
    <w:rsid w:val="006652D6"/>
    <w:rsid w:val="00665D32"/>
    <w:rsid w:val="006664E3"/>
    <w:rsid w:val="00670885"/>
    <w:rsid w:val="00670A68"/>
    <w:rsid w:val="00670F06"/>
    <w:rsid w:val="00670F9B"/>
    <w:rsid w:val="00671078"/>
    <w:rsid w:val="006713D1"/>
    <w:rsid w:val="00672291"/>
    <w:rsid w:val="006725F6"/>
    <w:rsid w:val="00672627"/>
    <w:rsid w:val="006731EF"/>
    <w:rsid w:val="0067425D"/>
    <w:rsid w:val="00675188"/>
    <w:rsid w:val="00675530"/>
    <w:rsid w:val="00675BEA"/>
    <w:rsid w:val="0067647C"/>
    <w:rsid w:val="00676BA0"/>
    <w:rsid w:val="00676D18"/>
    <w:rsid w:val="006801B9"/>
    <w:rsid w:val="0068034F"/>
    <w:rsid w:val="00680573"/>
    <w:rsid w:val="0068145C"/>
    <w:rsid w:val="0068251D"/>
    <w:rsid w:val="00682FD7"/>
    <w:rsid w:val="006834ED"/>
    <w:rsid w:val="006838FC"/>
    <w:rsid w:val="00684369"/>
    <w:rsid w:val="006847ED"/>
    <w:rsid w:val="00684924"/>
    <w:rsid w:val="00685651"/>
    <w:rsid w:val="006859EA"/>
    <w:rsid w:val="00685A53"/>
    <w:rsid w:val="00685C28"/>
    <w:rsid w:val="00685D0C"/>
    <w:rsid w:val="0068607F"/>
    <w:rsid w:val="00686485"/>
    <w:rsid w:val="00686EC5"/>
    <w:rsid w:val="00687405"/>
    <w:rsid w:val="00687A73"/>
    <w:rsid w:val="00687D68"/>
    <w:rsid w:val="00691080"/>
    <w:rsid w:val="006925B1"/>
    <w:rsid w:val="00693553"/>
    <w:rsid w:val="006946FE"/>
    <w:rsid w:val="006947F7"/>
    <w:rsid w:val="006951B3"/>
    <w:rsid w:val="00695DAE"/>
    <w:rsid w:val="00696D5C"/>
    <w:rsid w:val="00696F57"/>
    <w:rsid w:val="006A05B3"/>
    <w:rsid w:val="006A0887"/>
    <w:rsid w:val="006A0AD0"/>
    <w:rsid w:val="006A193A"/>
    <w:rsid w:val="006A20E3"/>
    <w:rsid w:val="006A2A3C"/>
    <w:rsid w:val="006A3074"/>
    <w:rsid w:val="006A35EC"/>
    <w:rsid w:val="006A4064"/>
    <w:rsid w:val="006A4167"/>
    <w:rsid w:val="006A4678"/>
    <w:rsid w:val="006A4DF2"/>
    <w:rsid w:val="006A4E93"/>
    <w:rsid w:val="006A57FB"/>
    <w:rsid w:val="006A5B44"/>
    <w:rsid w:val="006A5B8C"/>
    <w:rsid w:val="006A5CFE"/>
    <w:rsid w:val="006A6AEB"/>
    <w:rsid w:val="006A6DC9"/>
    <w:rsid w:val="006A6E3E"/>
    <w:rsid w:val="006A742C"/>
    <w:rsid w:val="006A7AFC"/>
    <w:rsid w:val="006B019B"/>
    <w:rsid w:val="006B2114"/>
    <w:rsid w:val="006B225C"/>
    <w:rsid w:val="006B27A2"/>
    <w:rsid w:val="006B2DC7"/>
    <w:rsid w:val="006B34F2"/>
    <w:rsid w:val="006B36E7"/>
    <w:rsid w:val="006B49EE"/>
    <w:rsid w:val="006B4A5D"/>
    <w:rsid w:val="006B57FE"/>
    <w:rsid w:val="006B5A2F"/>
    <w:rsid w:val="006B5CDC"/>
    <w:rsid w:val="006B6B7A"/>
    <w:rsid w:val="006B6C14"/>
    <w:rsid w:val="006B775B"/>
    <w:rsid w:val="006C08A0"/>
    <w:rsid w:val="006C099B"/>
    <w:rsid w:val="006C0A80"/>
    <w:rsid w:val="006C0EA6"/>
    <w:rsid w:val="006C152F"/>
    <w:rsid w:val="006C1962"/>
    <w:rsid w:val="006C2631"/>
    <w:rsid w:val="006C26AD"/>
    <w:rsid w:val="006C3744"/>
    <w:rsid w:val="006C390C"/>
    <w:rsid w:val="006C39E0"/>
    <w:rsid w:val="006C3A78"/>
    <w:rsid w:val="006C3B2E"/>
    <w:rsid w:val="006C445E"/>
    <w:rsid w:val="006C5B89"/>
    <w:rsid w:val="006C5C8D"/>
    <w:rsid w:val="006C5CAE"/>
    <w:rsid w:val="006C5CF6"/>
    <w:rsid w:val="006C7609"/>
    <w:rsid w:val="006C7B5F"/>
    <w:rsid w:val="006C7FDB"/>
    <w:rsid w:val="006D08B3"/>
    <w:rsid w:val="006D3D9D"/>
    <w:rsid w:val="006D43F8"/>
    <w:rsid w:val="006D467B"/>
    <w:rsid w:val="006D49D4"/>
    <w:rsid w:val="006D6571"/>
    <w:rsid w:val="006D66B6"/>
    <w:rsid w:val="006D79FC"/>
    <w:rsid w:val="006E1036"/>
    <w:rsid w:val="006E15D3"/>
    <w:rsid w:val="006E2364"/>
    <w:rsid w:val="006E2A24"/>
    <w:rsid w:val="006E2AC0"/>
    <w:rsid w:val="006E2BB0"/>
    <w:rsid w:val="006E2EA0"/>
    <w:rsid w:val="006E3024"/>
    <w:rsid w:val="006E3436"/>
    <w:rsid w:val="006E3FEC"/>
    <w:rsid w:val="006E4148"/>
    <w:rsid w:val="006E5008"/>
    <w:rsid w:val="006E7C06"/>
    <w:rsid w:val="006E7F3A"/>
    <w:rsid w:val="006F05B0"/>
    <w:rsid w:val="006F0F90"/>
    <w:rsid w:val="006F183E"/>
    <w:rsid w:val="006F1EBA"/>
    <w:rsid w:val="006F229F"/>
    <w:rsid w:val="006F25E6"/>
    <w:rsid w:val="006F2961"/>
    <w:rsid w:val="006F2EB2"/>
    <w:rsid w:val="006F3F69"/>
    <w:rsid w:val="006F4127"/>
    <w:rsid w:val="006F4FBA"/>
    <w:rsid w:val="006F51D8"/>
    <w:rsid w:val="006F54F4"/>
    <w:rsid w:val="006F6D4D"/>
    <w:rsid w:val="006F6FF1"/>
    <w:rsid w:val="006F7046"/>
    <w:rsid w:val="0070010C"/>
    <w:rsid w:val="0070011C"/>
    <w:rsid w:val="00700768"/>
    <w:rsid w:val="00700896"/>
    <w:rsid w:val="00700C86"/>
    <w:rsid w:val="0070141B"/>
    <w:rsid w:val="007014A1"/>
    <w:rsid w:val="007019CD"/>
    <w:rsid w:val="00701AFB"/>
    <w:rsid w:val="007040BB"/>
    <w:rsid w:val="00704123"/>
    <w:rsid w:val="0070493A"/>
    <w:rsid w:val="00705238"/>
    <w:rsid w:val="00705399"/>
    <w:rsid w:val="007055A3"/>
    <w:rsid w:val="007062E2"/>
    <w:rsid w:val="00707308"/>
    <w:rsid w:val="00707BBC"/>
    <w:rsid w:val="00710717"/>
    <w:rsid w:val="007108BA"/>
    <w:rsid w:val="00712523"/>
    <w:rsid w:val="0071317A"/>
    <w:rsid w:val="00713B51"/>
    <w:rsid w:val="0071444D"/>
    <w:rsid w:val="00714AFE"/>
    <w:rsid w:val="0071543B"/>
    <w:rsid w:val="007156B4"/>
    <w:rsid w:val="0071636F"/>
    <w:rsid w:val="00717084"/>
    <w:rsid w:val="0071715F"/>
    <w:rsid w:val="007175F6"/>
    <w:rsid w:val="00720198"/>
    <w:rsid w:val="007206D6"/>
    <w:rsid w:val="00720FC1"/>
    <w:rsid w:val="007218B9"/>
    <w:rsid w:val="00721D39"/>
    <w:rsid w:val="007220B2"/>
    <w:rsid w:val="0072311E"/>
    <w:rsid w:val="007232B6"/>
    <w:rsid w:val="00725907"/>
    <w:rsid w:val="00725A30"/>
    <w:rsid w:val="00725D33"/>
    <w:rsid w:val="0072646A"/>
    <w:rsid w:val="00726C8B"/>
    <w:rsid w:val="00727036"/>
    <w:rsid w:val="007272C6"/>
    <w:rsid w:val="00727AE6"/>
    <w:rsid w:val="00730389"/>
    <w:rsid w:val="00730798"/>
    <w:rsid w:val="0073105E"/>
    <w:rsid w:val="007317E5"/>
    <w:rsid w:val="007320C1"/>
    <w:rsid w:val="0073215E"/>
    <w:rsid w:val="007331F2"/>
    <w:rsid w:val="007362ED"/>
    <w:rsid w:val="00737CB7"/>
    <w:rsid w:val="007402A7"/>
    <w:rsid w:val="007406C3"/>
    <w:rsid w:val="00740B33"/>
    <w:rsid w:val="0074114D"/>
    <w:rsid w:val="00741393"/>
    <w:rsid w:val="00741772"/>
    <w:rsid w:val="00741B86"/>
    <w:rsid w:val="00741E8C"/>
    <w:rsid w:val="00742298"/>
    <w:rsid w:val="007425D6"/>
    <w:rsid w:val="00742695"/>
    <w:rsid w:val="00742A18"/>
    <w:rsid w:val="00743FCD"/>
    <w:rsid w:val="007440F8"/>
    <w:rsid w:val="007444A7"/>
    <w:rsid w:val="00744B67"/>
    <w:rsid w:val="0074666C"/>
    <w:rsid w:val="007467FE"/>
    <w:rsid w:val="00746EA6"/>
    <w:rsid w:val="007470C7"/>
    <w:rsid w:val="00747827"/>
    <w:rsid w:val="0074790C"/>
    <w:rsid w:val="007479C2"/>
    <w:rsid w:val="00747B85"/>
    <w:rsid w:val="00747C63"/>
    <w:rsid w:val="00750D1F"/>
    <w:rsid w:val="00750D9B"/>
    <w:rsid w:val="00753153"/>
    <w:rsid w:val="00753241"/>
    <w:rsid w:val="00753342"/>
    <w:rsid w:val="007534C9"/>
    <w:rsid w:val="00753795"/>
    <w:rsid w:val="00753867"/>
    <w:rsid w:val="007538C2"/>
    <w:rsid w:val="007538CC"/>
    <w:rsid w:val="00754B91"/>
    <w:rsid w:val="00754D89"/>
    <w:rsid w:val="00754E17"/>
    <w:rsid w:val="00756856"/>
    <w:rsid w:val="007569DA"/>
    <w:rsid w:val="00757DFA"/>
    <w:rsid w:val="007610C8"/>
    <w:rsid w:val="007612A0"/>
    <w:rsid w:val="007617E6"/>
    <w:rsid w:val="00762F9B"/>
    <w:rsid w:val="007636F3"/>
    <w:rsid w:val="007641F1"/>
    <w:rsid w:val="00764316"/>
    <w:rsid w:val="007646CD"/>
    <w:rsid w:val="00766080"/>
    <w:rsid w:val="00766D18"/>
    <w:rsid w:val="00766E39"/>
    <w:rsid w:val="00766E9A"/>
    <w:rsid w:val="007672C3"/>
    <w:rsid w:val="0076768A"/>
    <w:rsid w:val="007677F6"/>
    <w:rsid w:val="00767E9F"/>
    <w:rsid w:val="007716B5"/>
    <w:rsid w:val="007718FA"/>
    <w:rsid w:val="007729B7"/>
    <w:rsid w:val="00773809"/>
    <w:rsid w:val="00773910"/>
    <w:rsid w:val="00773E47"/>
    <w:rsid w:val="00773F89"/>
    <w:rsid w:val="007744FD"/>
    <w:rsid w:val="00774BD0"/>
    <w:rsid w:val="007751AE"/>
    <w:rsid w:val="007752A3"/>
    <w:rsid w:val="00775C64"/>
    <w:rsid w:val="00776295"/>
    <w:rsid w:val="00780E6B"/>
    <w:rsid w:val="007815C2"/>
    <w:rsid w:val="00781DD5"/>
    <w:rsid w:val="00782170"/>
    <w:rsid w:val="0078232C"/>
    <w:rsid w:val="0078265B"/>
    <w:rsid w:val="00782939"/>
    <w:rsid w:val="00782CE3"/>
    <w:rsid w:val="007866F3"/>
    <w:rsid w:val="00787546"/>
    <w:rsid w:val="00787DA8"/>
    <w:rsid w:val="0079075C"/>
    <w:rsid w:val="00790E74"/>
    <w:rsid w:val="007910B3"/>
    <w:rsid w:val="007913B8"/>
    <w:rsid w:val="00792022"/>
    <w:rsid w:val="00792309"/>
    <w:rsid w:val="00792928"/>
    <w:rsid w:val="00792A4A"/>
    <w:rsid w:val="00792B10"/>
    <w:rsid w:val="00794225"/>
    <w:rsid w:val="00795C46"/>
    <w:rsid w:val="00795FBF"/>
    <w:rsid w:val="007968EA"/>
    <w:rsid w:val="007970C9"/>
    <w:rsid w:val="0079729E"/>
    <w:rsid w:val="0079747F"/>
    <w:rsid w:val="007974BA"/>
    <w:rsid w:val="007A07EC"/>
    <w:rsid w:val="007A0909"/>
    <w:rsid w:val="007A12BA"/>
    <w:rsid w:val="007A1929"/>
    <w:rsid w:val="007A30C7"/>
    <w:rsid w:val="007A3E21"/>
    <w:rsid w:val="007A3F6A"/>
    <w:rsid w:val="007A4355"/>
    <w:rsid w:val="007A4811"/>
    <w:rsid w:val="007A56FF"/>
    <w:rsid w:val="007A5C7B"/>
    <w:rsid w:val="007A610F"/>
    <w:rsid w:val="007A64D4"/>
    <w:rsid w:val="007A69A5"/>
    <w:rsid w:val="007A6D1C"/>
    <w:rsid w:val="007A7CE1"/>
    <w:rsid w:val="007B1407"/>
    <w:rsid w:val="007B15AC"/>
    <w:rsid w:val="007B18CE"/>
    <w:rsid w:val="007B2451"/>
    <w:rsid w:val="007B25C9"/>
    <w:rsid w:val="007B2625"/>
    <w:rsid w:val="007B36ED"/>
    <w:rsid w:val="007B4427"/>
    <w:rsid w:val="007B5257"/>
    <w:rsid w:val="007B5C30"/>
    <w:rsid w:val="007B5ED0"/>
    <w:rsid w:val="007B6F41"/>
    <w:rsid w:val="007B75A2"/>
    <w:rsid w:val="007C0C65"/>
    <w:rsid w:val="007C1250"/>
    <w:rsid w:val="007C151E"/>
    <w:rsid w:val="007C1CDE"/>
    <w:rsid w:val="007C22AC"/>
    <w:rsid w:val="007C3FEA"/>
    <w:rsid w:val="007C4358"/>
    <w:rsid w:val="007C4D16"/>
    <w:rsid w:val="007C4F99"/>
    <w:rsid w:val="007C5172"/>
    <w:rsid w:val="007C54A0"/>
    <w:rsid w:val="007C6162"/>
    <w:rsid w:val="007C6DDC"/>
    <w:rsid w:val="007D01FC"/>
    <w:rsid w:val="007D0375"/>
    <w:rsid w:val="007D0B13"/>
    <w:rsid w:val="007D0D5C"/>
    <w:rsid w:val="007D1E24"/>
    <w:rsid w:val="007D2380"/>
    <w:rsid w:val="007D31C4"/>
    <w:rsid w:val="007D3490"/>
    <w:rsid w:val="007D353C"/>
    <w:rsid w:val="007D39AD"/>
    <w:rsid w:val="007D48E6"/>
    <w:rsid w:val="007D4903"/>
    <w:rsid w:val="007D4B1D"/>
    <w:rsid w:val="007D4B56"/>
    <w:rsid w:val="007D4E14"/>
    <w:rsid w:val="007D51EC"/>
    <w:rsid w:val="007D57ED"/>
    <w:rsid w:val="007D59E6"/>
    <w:rsid w:val="007D5D64"/>
    <w:rsid w:val="007D7508"/>
    <w:rsid w:val="007D7E30"/>
    <w:rsid w:val="007D7F29"/>
    <w:rsid w:val="007E0688"/>
    <w:rsid w:val="007E07E5"/>
    <w:rsid w:val="007E11A8"/>
    <w:rsid w:val="007E25F9"/>
    <w:rsid w:val="007E26BD"/>
    <w:rsid w:val="007E2F26"/>
    <w:rsid w:val="007E2F56"/>
    <w:rsid w:val="007E487C"/>
    <w:rsid w:val="007E49EF"/>
    <w:rsid w:val="007E4CA2"/>
    <w:rsid w:val="007E574C"/>
    <w:rsid w:val="007E6CBB"/>
    <w:rsid w:val="007E74E5"/>
    <w:rsid w:val="007E7BC3"/>
    <w:rsid w:val="007E7F73"/>
    <w:rsid w:val="007F09A1"/>
    <w:rsid w:val="007F1250"/>
    <w:rsid w:val="007F3570"/>
    <w:rsid w:val="007F3BC2"/>
    <w:rsid w:val="007F3F6A"/>
    <w:rsid w:val="007F5031"/>
    <w:rsid w:val="007F5335"/>
    <w:rsid w:val="007F5D06"/>
    <w:rsid w:val="007F6B3F"/>
    <w:rsid w:val="007F6E13"/>
    <w:rsid w:val="007F74CC"/>
    <w:rsid w:val="007F7A6A"/>
    <w:rsid w:val="007F7B62"/>
    <w:rsid w:val="00800C11"/>
    <w:rsid w:val="008011B4"/>
    <w:rsid w:val="0080158C"/>
    <w:rsid w:val="0080184F"/>
    <w:rsid w:val="008023D0"/>
    <w:rsid w:val="0080335F"/>
    <w:rsid w:val="00804721"/>
    <w:rsid w:val="0080482B"/>
    <w:rsid w:val="00804A5B"/>
    <w:rsid w:val="00804B8B"/>
    <w:rsid w:val="00805933"/>
    <w:rsid w:val="00805DDF"/>
    <w:rsid w:val="00806F22"/>
    <w:rsid w:val="00807CCB"/>
    <w:rsid w:val="00810060"/>
    <w:rsid w:val="008110AD"/>
    <w:rsid w:val="008122B0"/>
    <w:rsid w:val="008136E3"/>
    <w:rsid w:val="00813B0C"/>
    <w:rsid w:val="00813C3D"/>
    <w:rsid w:val="00813CE7"/>
    <w:rsid w:val="008147B5"/>
    <w:rsid w:val="00814C8D"/>
    <w:rsid w:val="00814DAC"/>
    <w:rsid w:val="008154BF"/>
    <w:rsid w:val="0081726A"/>
    <w:rsid w:val="0082002F"/>
    <w:rsid w:val="008218B5"/>
    <w:rsid w:val="008220B8"/>
    <w:rsid w:val="00822A4D"/>
    <w:rsid w:val="00823E21"/>
    <w:rsid w:val="00824F6B"/>
    <w:rsid w:val="008261AD"/>
    <w:rsid w:val="0082769A"/>
    <w:rsid w:val="008302D8"/>
    <w:rsid w:val="00830736"/>
    <w:rsid w:val="0083077A"/>
    <w:rsid w:val="00831DEB"/>
    <w:rsid w:val="00833237"/>
    <w:rsid w:val="008336F9"/>
    <w:rsid w:val="00834179"/>
    <w:rsid w:val="0083517B"/>
    <w:rsid w:val="00836428"/>
    <w:rsid w:val="00836CD3"/>
    <w:rsid w:val="00837AC2"/>
    <w:rsid w:val="00840C71"/>
    <w:rsid w:val="008424DD"/>
    <w:rsid w:val="008431D6"/>
    <w:rsid w:val="00844E79"/>
    <w:rsid w:val="00845A96"/>
    <w:rsid w:val="008467AD"/>
    <w:rsid w:val="00846AD6"/>
    <w:rsid w:val="00847252"/>
    <w:rsid w:val="00847562"/>
    <w:rsid w:val="00851341"/>
    <w:rsid w:val="00851391"/>
    <w:rsid w:val="00851817"/>
    <w:rsid w:val="008519F8"/>
    <w:rsid w:val="00852BE0"/>
    <w:rsid w:val="00853052"/>
    <w:rsid w:val="00853844"/>
    <w:rsid w:val="00853D6D"/>
    <w:rsid w:val="008550E7"/>
    <w:rsid w:val="008557BA"/>
    <w:rsid w:val="0085593A"/>
    <w:rsid w:val="00855E9F"/>
    <w:rsid w:val="00856224"/>
    <w:rsid w:val="00857368"/>
    <w:rsid w:val="00857D6A"/>
    <w:rsid w:val="00857DB6"/>
    <w:rsid w:val="008601DD"/>
    <w:rsid w:val="00860E3A"/>
    <w:rsid w:val="00862EBE"/>
    <w:rsid w:val="00863D94"/>
    <w:rsid w:val="00864408"/>
    <w:rsid w:val="00865607"/>
    <w:rsid w:val="00865B72"/>
    <w:rsid w:val="00866549"/>
    <w:rsid w:val="008665A0"/>
    <w:rsid w:val="00866A72"/>
    <w:rsid w:val="008670B1"/>
    <w:rsid w:val="0086761A"/>
    <w:rsid w:val="008702A7"/>
    <w:rsid w:val="00871A35"/>
    <w:rsid w:val="00871B4E"/>
    <w:rsid w:val="00872663"/>
    <w:rsid w:val="00872E40"/>
    <w:rsid w:val="00873111"/>
    <w:rsid w:val="00873477"/>
    <w:rsid w:val="00875577"/>
    <w:rsid w:val="008769D9"/>
    <w:rsid w:val="00876A77"/>
    <w:rsid w:val="00876D70"/>
    <w:rsid w:val="00877789"/>
    <w:rsid w:val="008779F5"/>
    <w:rsid w:val="00877A94"/>
    <w:rsid w:val="00880084"/>
    <w:rsid w:val="00880B42"/>
    <w:rsid w:val="00880EB1"/>
    <w:rsid w:val="00880EF6"/>
    <w:rsid w:val="00881521"/>
    <w:rsid w:val="00881682"/>
    <w:rsid w:val="008824E2"/>
    <w:rsid w:val="008826F7"/>
    <w:rsid w:val="0088300B"/>
    <w:rsid w:val="008831FC"/>
    <w:rsid w:val="008835A8"/>
    <w:rsid w:val="00883CBE"/>
    <w:rsid w:val="008872CD"/>
    <w:rsid w:val="00891DD4"/>
    <w:rsid w:val="0089255A"/>
    <w:rsid w:val="00892C84"/>
    <w:rsid w:val="00893E73"/>
    <w:rsid w:val="00894876"/>
    <w:rsid w:val="008949F1"/>
    <w:rsid w:val="00895D10"/>
    <w:rsid w:val="00896967"/>
    <w:rsid w:val="008969AD"/>
    <w:rsid w:val="00896BE3"/>
    <w:rsid w:val="00897033"/>
    <w:rsid w:val="008974B3"/>
    <w:rsid w:val="0089778A"/>
    <w:rsid w:val="00897BA4"/>
    <w:rsid w:val="008A03CB"/>
    <w:rsid w:val="008A08DD"/>
    <w:rsid w:val="008A1077"/>
    <w:rsid w:val="008A10CA"/>
    <w:rsid w:val="008A1961"/>
    <w:rsid w:val="008A1D0C"/>
    <w:rsid w:val="008A1FC9"/>
    <w:rsid w:val="008A2865"/>
    <w:rsid w:val="008A2877"/>
    <w:rsid w:val="008A2A34"/>
    <w:rsid w:val="008A2A47"/>
    <w:rsid w:val="008A2AE0"/>
    <w:rsid w:val="008A2EC7"/>
    <w:rsid w:val="008A3736"/>
    <w:rsid w:val="008A3D46"/>
    <w:rsid w:val="008A4542"/>
    <w:rsid w:val="008A4A66"/>
    <w:rsid w:val="008A5326"/>
    <w:rsid w:val="008A54B3"/>
    <w:rsid w:val="008A6FCB"/>
    <w:rsid w:val="008A731E"/>
    <w:rsid w:val="008A78AB"/>
    <w:rsid w:val="008A79BD"/>
    <w:rsid w:val="008A7D2E"/>
    <w:rsid w:val="008A7FE4"/>
    <w:rsid w:val="008B0DE2"/>
    <w:rsid w:val="008B12BA"/>
    <w:rsid w:val="008B35D5"/>
    <w:rsid w:val="008B3FB6"/>
    <w:rsid w:val="008B476B"/>
    <w:rsid w:val="008B4864"/>
    <w:rsid w:val="008B5274"/>
    <w:rsid w:val="008B552B"/>
    <w:rsid w:val="008B5EC5"/>
    <w:rsid w:val="008B6D16"/>
    <w:rsid w:val="008B7401"/>
    <w:rsid w:val="008C16E8"/>
    <w:rsid w:val="008C185E"/>
    <w:rsid w:val="008C1DB2"/>
    <w:rsid w:val="008C209E"/>
    <w:rsid w:val="008C239F"/>
    <w:rsid w:val="008C3110"/>
    <w:rsid w:val="008C408F"/>
    <w:rsid w:val="008C40E4"/>
    <w:rsid w:val="008C47EA"/>
    <w:rsid w:val="008C5460"/>
    <w:rsid w:val="008C755D"/>
    <w:rsid w:val="008D0228"/>
    <w:rsid w:val="008D0547"/>
    <w:rsid w:val="008D1A00"/>
    <w:rsid w:val="008D1D79"/>
    <w:rsid w:val="008D319F"/>
    <w:rsid w:val="008D3350"/>
    <w:rsid w:val="008D3415"/>
    <w:rsid w:val="008D398A"/>
    <w:rsid w:val="008D3B3A"/>
    <w:rsid w:val="008D3D54"/>
    <w:rsid w:val="008D3F49"/>
    <w:rsid w:val="008D4FE5"/>
    <w:rsid w:val="008D508E"/>
    <w:rsid w:val="008D5598"/>
    <w:rsid w:val="008D56CC"/>
    <w:rsid w:val="008D5BD5"/>
    <w:rsid w:val="008D6EC0"/>
    <w:rsid w:val="008D7089"/>
    <w:rsid w:val="008D7EDE"/>
    <w:rsid w:val="008E0612"/>
    <w:rsid w:val="008E0A4B"/>
    <w:rsid w:val="008E25C8"/>
    <w:rsid w:val="008E2B2F"/>
    <w:rsid w:val="008E4826"/>
    <w:rsid w:val="008E606D"/>
    <w:rsid w:val="008E6642"/>
    <w:rsid w:val="008E79A7"/>
    <w:rsid w:val="008F0162"/>
    <w:rsid w:val="008F0C67"/>
    <w:rsid w:val="008F19C1"/>
    <w:rsid w:val="008F2717"/>
    <w:rsid w:val="008F3516"/>
    <w:rsid w:val="008F3E20"/>
    <w:rsid w:val="008F43BC"/>
    <w:rsid w:val="008F4D0D"/>
    <w:rsid w:val="008F5D7D"/>
    <w:rsid w:val="008F654C"/>
    <w:rsid w:val="008F6FB3"/>
    <w:rsid w:val="008F781C"/>
    <w:rsid w:val="00901D4A"/>
    <w:rsid w:val="009027CA"/>
    <w:rsid w:val="00902E11"/>
    <w:rsid w:val="00903E16"/>
    <w:rsid w:val="00905845"/>
    <w:rsid w:val="00906C6A"/>
    <w:rsid w:val="009079BD"/>
    <w:rsid w:val="00907ECD"/>
    <w:rsid w:val="009100C2"/>
    <w:rsid w:val="0091067D"/>
    <w:rsid w:val="0091068A"/>
    <w:rsid w:val="00910AE1"/>
    <w:rsid w:val="00911084"/>
    <w:rsid w:val="009110A1"/>
    <w:rsid w:val="009111FA"/>
    <w:rsid w:val="0091163E"/>
    <w:rsid w:val="00911EA2"/>
    <w:rsid w:val="00912B6F"/>
    <w:rsid w:val="00914BBD"/>
    <w:rsid w:val="00914F86"/>
    <w:rsid w:val="009155EF"/>
    <w:rsid w:val="00915E6F"/>
    <w:rsid w:val="009168C9"/>
    <w:rsid w:val="00916C03"/>
    <w:rsid w:val="00916CA0"/>
    <w:rsid w:val="00917519"/>
    <w:rsid w:val="00917E4F"/>
    <w:rsid w:val="00917F94"/>
    <w:rsid w:val="009205D8"/>
    <w:rsid w:val="00921093"/>
    <w:rsid w:val="00921585"/>
    <w:rsid w:val="009218A0"/>
    <w:rsid w:val="009218EC"/>
    <w:rsid w:val="00921C20"/>
    <w:rsid w:val="0092241C"/>
    <w:rsid w:val="00922B4E"/>
    <w:rsid w:val="0092391D"/>
    <w:rsid w:val="00923A4B"/>
    <w:rsid w:val="00924430"/>
    <w:rsid w:val="00925C26"/>
    <w:rsid w:val="00926150"/>
    <w:rsid w:val="00926185"/>
    <w:rsid w:val="009265E4"/>
    <w:rsid w:val="00926A92"/>
    <w:rsid w:val="00926F2C"/>
    <w:rsid w:val="0092756C"/>
    <w:rsid w:val="009276B1"/>
    <w:rsid w:val="0092780E"/>
    <w:rsid w:val="00927BB7"/>
    <w:rsid w:val="009303C6"/>
    <w:rsid w:val="009303F7"/>
    <w:rsid w:val="00930891"/>
    <w:rsid w:val="0093120A"/>
    <w:rsid w:val="00931C5D"/>
    <w:rsid w:val="009322C1"/>
    <w:rsid w:val="00932E0C"/>
    <w:rsid w:val="009330ED"/>
    <w:rsid w:val="00933A6C"/>
    <w:rsid w:val="00933B8C"/>
    <w:rsid w:val="009340D3"/>
    <w:rsid w:val="009349DD"/>
    <w:rsid w:val="00934CF0"/>
    <w:rsid w:val="00934E41"/>
    <w:rsid w:val="0093544D"/>
    <w:rsid w:val="00935BF8"/>
    <w:rsid w:val="0093635F"/>
    <w:rsid w:val="00936AA6"/>
    <w:rsid w:val="00937080"/>
    <w:rsid w:val="0093723B"/>
    <w:rsid w:val="0093743F"/>
    <w:rsid w:val="009374CA"/>
    <w:rsid w:val="00937962"/>
    <w:rsid w:val="00937D5B"/>
    <w:rsid w:val="0094005A"/>
    <w:rsid w:val="00940436"/>
    <w:rsid w:val="00941C04"/>
    <w:rsid w:val="009421F1"/>
    <w:rsid w:val="00942271"/>
    <w:rsid w:val="009422BF"/>
    <w:rsid w:val="00943133"/>
    <w:rsid w:val="00943BA6"/>
    <w:rsid w:val="00943C97"/>
    <w:rsid w:val="009451B0"/>
    <w:rsid w:val="009453FB"/>
    <w:rsid w:val="009457E1"/>
    <w:rsid w:val="009459C8"/>
    <w:rsid w:val="00945DD5"/>
    <w:rsid w:val="00945E1B"/>
    <w:rsid w:val="00945FDB"/>
    <w:rsid w:val="00946741"/>
    <w:rsid w:val="0094677A"/>
    <w:rsid w:val="009475E6"/>
    <w:rsid w:val="00947A0C"/>
    <w:rsid w:val="009500A9"/>
    <w:rsid w:val="009503E2"/>
    <w:rsid w:val="009520A3"/>
    <w:rsid w:val="00952636"/>
    <w:rsid w:val="0095277E"/>
    <w:rsid w:val="00952B3D"/>
    <w:rsid w:val="009530CB"/>
    <w:rsid w:val="00953165"/>
    <w:rsid w:val="0095348D"/>
    <w:rsid w:val="0095360D"/>
    <w:rsid w:val="0095519A"/>
    <w:rsid w:val="009551BA"/>
    <w:rsid w:val="0095671A"/>
    <w:rsid w:val="00956BCC"/>
    <w:rsid w:val="009572FF"/>
    <w:rsid w:val="00957B4F"/>
    <w:rsid w:val="00957C0D"/>
    <w:rsid w:val="0096018A"/>
    <w:rsid w:val="009604F9"/>
    <w:rsid w:val="0096097A"/>
    <w:rsid w:val="00960F84"/>
    <w:rsid w:val="00961B2E"/>
    <w:rsid w:val="00961D14"/>
    <w:rsid w:val="009623E2"/>
    <w:rsid w:val="00962F3A"/>
    <w:rsid w:val="00963222"/>
    <w:rsid w:val="00963401"/>
    <w:rsid w:val="00963420"/>
    <w:rsid w:val="009637AC"/>
    <w:rsid w:val="009638D0"/>
    <w:rsid w:val="00963946"/>
    <w:rsid w:val="00964338"/>
    <w:rsid w:val="00964C52"/>
    <w:rsid w:val="009657A6"/>
    <w:rsid w:val="00965BE8"/>
    <w:rsid w:val="00966A4C"/>
    <w:rsid w:val="00966E9D"/>
    <w:rsid w:val="0096760B"/>
    <w:rsid w:val="00971372"/>
    <w:rsid w:val="00971ACC"/>
    <w:rsid w:val="00972292"/>
    <w:rsid w:val="009727F3"/>
    <w:rsid w:val="00972DD0"/>
    <w:rsid w:val="00973391"/>
    <w:rsid w:val="00973646"/>
    <w:rsid w:val="00973BC0"/>
    <w:rsid w:val="00973E75"/>
    <w:rsid w:val="00973F18"/>
    <w:rsid w:val="009748FF"/>
    <w:rsid w:val="0097492B"/>
    <w:rsid w:val="0097544A"/>
    <w:rsid w:val="0097597A"/>
    <w:rsid w:val="00975DF1"/>
    <w:rsid w:val="00975E05"/>
    <w:rsid w:val="00975F7E"/>
    <w:rsid w:val="009768FA"/>
    <w:rsid w:val="00977C3D"/>
    <w:rsid w:val="0098059D"/>
    <w:rsid w:val="00980B3C"/>
    <w:rsid w:val="00980EFF"/>
    <w:rsid w:val="0098115F"/>
    <w:rsid w:val="009842D8"/>
    <w:rsid w:val="00984489"/>
    <w:rsid w:val="00984632"/>
    <w:rsid w:val="00984794"/>
    <w:rsid w:val="00984987"/>
    <w:rsid w:val="00984B9D"/>
    <w:rsid w:val="00984EB3"/>
    <w:rsid w:val="00985719"/>
    <w:rsid w:val="00985B5F"/>
    <w:rsid w:val="00986004"/>
    <w:rsid w:val="00986687"/>
    <w:rsid w:val="00987C43"/>
    <w:rsid w:val="00990289"/>
    <w:rsid w:val="00990B34"/>
    <w:rsid w:val="00991585"/>
    <w:rsid w:val="00991718"/>
    <w:rsid w:val="009918CA"/>
    <w:rsid w:val="00991DEB"/>
    <w:rsid w:val="0099229E"/>
    <w:rsid w:val="00993706"/>
    <w:rsid w:val="00993789"/>
    <w:rsid w:val="00993CA4"/>
    <w:rsid w:val="00994E3D"/>
    <w:rsid w:val="00995DF5"/>
    <w:rsid w:val="00995EE4"/>
    <w:rsid w:val="00996C11"/>
    <w:rsid w:val="00996F3C"/>
    <w:rsid w:val="009973A3"/>
    <w:rsid w:val="0099752D"/>
    <w:rsid w:val="009A13EB"/>
    <w:rsid w:val="009A1F5E"/>
    <w:rsid w:val="009A29AE"/>
    <w:rsid w:val="009A2EEE"/>
    <w:rsid w:val="009A4C42"/>
    <w:rsid w:val="009A4E92"/>
    <w:rsid w:val="009A54CA"/>
    <w:rsid w:val="009A62A1"/>
    <w:rsid w:val="009A70BD"/>
    <w:rsid w:val="009A70DE"/>
    <w:rsid w:val="009A7142"/>
    <w:rsid w:val="009A79FB"/>
    <w:rsid w:val="009A7DD7"/>
    <w:rsid w:val="009B08F0"/>
    <w:rsid w:val="009B0B5E"/>
    <w:rsid w:val="009B1F5B"/>
    <w:rsid w:val="009B33EB"/>
    <w:rsid w:val="009B3D31"/>
    <w:rsid w:val="009B42DE"/>
    <w:rsid w:val="009B49D4"/>
    <w:rsid w:val="009B4FBE"/>
    <w:rsid w:val="009B50DE"/>
    <w:rsid w:val="009B5599"/>
    <w:rsid w:val="009B6883"/>
    <w:rsid w:val="009B68F0"/>
    <w:rsid w:val="009B794C"/>
    <w:rsid w:val="009B7F65"/>
    <w:rsid w:val="009C0732"/>
    <w:rsid w:val="009C168D"/>
    <w:rsid w:val="009C36A6"/>
    <w:rsid w:val="009C381D"/>
    <w:rsid w:val="009C3E86"/>
    <w:rsid w:val="009C4673"/>
    <w:rsid w:val="009C4B12"/>
    <w:rsid w:val="009C52D2"/>
    <w:rsid w:val="009C54F6"/>
    <w:rsid w:val="009C587C"/>
    <w:rsid w:val="009C6512"/>
    <w:rsid w:val="009C66A5"/>
    <w:rsid w:val="009C6A7F"/>
    <w:rsid w:val="009C6B27"/>
    <w:rsid w:val="009C6CC3"/>
    <w:rsid w:val="009C77D5"/>
    <w:rsid w:val="009C7A5D"/>
    <w:rsid w:val="009D0B86"/>
    <w:rsid w:val="009D0C90"/>
    <w:rsid w:val="009D1690"/>
    <w:rsid w:val="009D1B0C"/>
    <w:rsid w:val="009D1E9D"/>
    <w:rsid w:val="009D2534"/>
    <w:rsid w:val="009D33FC"/>
    <w:rsid w:val="009D3583"/>
    <w:rsid w:val="009D3C51"/>
    <w:rsid w:val="009D4972"/>
    <w:rsid w:val="009D555E"/>
    <w:rsid w:val="009D61AA"/>
    <w:rsid w:val="009D65C1"/>
    <w:rsid w:val="009D6F03"/>
    <w:rsid w:val="009D75C2"/>
    <w:rsid w:val="009D75E6"/>
    <w:rsid w:val="009D7873"/>
    <w:rsid w:val="009D7E8A"/>
    <w:rsid w:val="009E07E4"/>
    <w:rsid w:val="009E138F"/>
    <w:rsid w:val="009E1659"/>
    <w:rsid w:val="009E21D1"/>
    <w:rsid w:val="009E34F0"/>
    <w:rsid w:val="009E3B5C"/>
    <w:rsid w:val="009E431A"/>
    <w:rsid w:val="009E654E"/>
    <w:rsid w:val="009E6710"/>
    <w:rsid w:val="009E7341"/>
    <w:rsid w:val="009E742D"/>
    <w:rsid w:val="009E7497"/>
    <w:rsid w:val="009E7792"/>
    <w:rsid w:val="009F04BE"/>
    <w:rsid w:val="009F0E54"/>
    <w:rsid w:val="009F1199"/>
    <w:rsid w:val="009F2319"/>
    <w:rsid w:val="009F281A"/>
    <w:rsid w:val="009F2C89"/>
    <w:rsid w:val="009F414C"/>
    <w:rsid w:val="009F4247"/>
    <w:rsid w:val="009F4CC9"/>
    <w:rsid w:val="009F5189"/>
    <w:rsid w:val="009F52D4"/>
    <w:rsid w:val="009F5A65"/>
    <w:rsid w:val="009F5E98"/>
    <w:rsid w:val="009F5FDE"/>
    <w:rsid w:val="009F68D0"/>
    <w:rsid w:val="009F6BF0"/>
    <w:rsid w:val="009F6FA3"/>
    <w:rsid w:val="009F7F0F"/>
    <w:rsid w:val="00A001B6"/>
    <w:rsid w:val="00A0042B"/>
    <w:rsid w:val="00A00A15"/>
    <w:rsid w:val="00A016C3"/>
    <w:rsid w:val="00A017D3"/>
    <w:rsid w:val="00A01AEF"/>
    <w:rsid w:val="00A01B0D"/>
    <w:rsid w:val="00A01EF7"/>
    <w:rsid w:val="00A03721"/>
    <w:rsid w:val="00A0416B"/>
    <w:rsid w:val="00A046B8"/>
    <w:rsid w:val="00A04C6D"/>
    <w:rsid w:val="00A056E2"/>
    <w:rsid w:val="00A05872"/>
    <w:rsid w:val="00A05B60"/>
    <w:rsid w:val="00A065EE"/>
    <w:rsid w:val="00A066A4"/>
    <w:rsid w:val="00A06A76"/>
    <w:rsid w:val="00A0738C"/>
    <w:rsid w:val="00A07A2D"/>
    <w:rsid w:val="00A07AAC"/>
    <w:rsid w:val="00A10E9B"/>
    <w:rsid w:val="00A11F83"/>
    <w:rsid w:val="00A12665"/>
    <w:rsid w:val="00A13119"/>
    <w:rsid w:val="00A1476D"/>
    <w:rsid w:val="00A148D8"/>
    <w:rsid w:val="00A161A9"/>
    <w:rsid w:val="00A1649F"/>
    <w:rsid w:val="00A16D96"/>
    <w:rsid w:val="00A200B7"/>
    <w:rsid w:val="00A2029C"/>
    <w:rsid w:val="00A20C57"/>
    <w:rsid w:val="00A21898"/>
    <w:rsid w:val="00A21CF3"/>
    <w:rsid w:val="00A22BD7"/>
    <w:rsid w:val="00A22C99"/>
    <w:rsid w:val="00A237C5"/>
    <w:rsid w:val="00A23C2F"/>
    <w:rsid w:val="00A23F5D"/>
    <w:rsid w:val="00A2437F"/>
    <w:rsid w:val="00A243D0"/>
    <w:rsid w:val="00A24634"/>
    <w:rsid w:val="00A24CA3"/>
    <w:rsid w:val="00A24D94"/>
    <w:rsid w:val="00A25CA4"/>
    <w:rsid w:val="00A2655A"/>
    <w:rsid w:val="00A26DA9"/>
    <w:rsid w:val="00A26EB1"/>
    <w:rsid w:val="00A2732D"/>
    <w:rsid w:val="00A2789C"/>
    <w:rsid w:val="00A27C11"/>
    <w:rsid w:val="00A305D0"/>
    <w:rsid w:val="00A30881"/>
    <w:rsid w:val="00A310D0"/>
    <w:rsid w:val="00A333B4"/>
    <w:rsid w:val="00A337AB"/>
    <w:rsid w:val="00A33CE3"/>
    <w:rsid w:val="00A34831"/>
    <w:rsid w:val="00A35CC1"/>
    <w:rsid w:val="00A36964"/>
    <w:rsid w:val="00A36B95"/>
    <w:rsid w:val="00A408C2"/>
    <w:rsid w:val="00A41254"/>
    <w:rsid w:val="00A41564"/>
    <w:rsid w:val="00A41B9D"/>
    <w:rsid w:val="00A41EC0"/>
    <w:rsid w:val="00A431E1"/>
    <w:rsid w:val="00A43639"/>
    <w:rsid w:val="00A4549E"/>
    <w:rsid w:val="00A4565C"/>
    <w:rsid w:val="00A456B0"/>
    <w:rsid w:val="00A45CC3"/>
    <w:rsid w:val="00A46CCA"/>
    <w:rsid w:val="00A47263"/>
    <w:rsid w:val="00A477B7"/>
    <w:rsid w:val="00A47D17"/>
    <w:rsid w:val="00A5011B"/>
    <w:rsid w:val="00A51536"/>
    <w:rsid w:val="00A516B0"/>
    <w:rsid w:val="00A516BA"/>
    <w:rsid w:val="00A51862"/>
    <w:rsid w:val="00A520F2"/>
    <w:rsid w:val="00A528F5"/>
    <w:rsid w:val="00A553E4"/>
    <w:rsid w:val="00A554BF"/>
    <w:rsid w:val="00A557DF"/>
    <w:rsid w:val="00A561DA"/>
    <w:rsid w:val="00A579E1"/>
    <w:rsid w:val="00A57ABE"/>
    <w:rsid w:val="00A601E1"/>
    <w:rsid w:val="00A61221"/>
    <w:rsid w:val="00A61D0E"/>
    <w:rsid w:val="00A61FE2"/>
    <w:rsid w:val="00A627F0"/>
    <w:rsid w:val="00A62EFA"/>
    <w:rsid w:val="00A637F0"/>
    <w:rsid w:val="00A643F3"/>
    <w:rsid w:val="00A6441C"/>
    <w:rsid w:val="00A644F7"/>
    <w:rsid w:val="00A64674"/>
    <w:rsid w:val="00A65027"/>
    <w:rsid w:val="00A651F3"/>
    <w:rsid w:val="00A651FE"/>
    <w:rsid w:val="00A65801"/>
    <w:rsid w:val="00A65AAB"/>
    <w:rsid w:val="00A664BB"/>
    <w:rsid w:val="00A66EC5"/>
    <w:rsid w:val="00A66F7B"/>
    <w:rsid w:val="00A67038"/>
    <w:rsid w:val="00A67601"/>
    <w:rsid w:val="00A70708"/>
    <w:rsid w:val="00A7084E"/>
    <w:rsid w:val="00A70D1A"/>
    <w:rsid w:val="00A70D61"/>
    <w:rsid w:val="00A71BD8"/>
    <w:rsid w:val="00A72648"/>
    <w:rsid w:val="00A72682"/>
    <w:rsid w:val="00A735C2"/>
    <w:rsid w:val="00A736DA"/>
    <w:rsid w:val="00A73E5A"/>
    <w:rsid w:val="00A74535"/>
    <w:rsid w:val="00A74C2E"/>
    <w:rsid w:val="00A75403"/>
    <w:rsid w:val="00A75BBF"/>
    <w:rsid w:val="00A75F56"/>
    <w:rsid w:val="00A769EF"/>
    <w:rsid w:val="00A76BEB"/>
    <w:rsid w:val="00A76FB1"/>
    <w:rsid w:val="00A77699"/>
    <w:rsid w:val="00A77E3C"/>
    <w:rsid w:val="00A8012E"/>
    <w:rsid w:val="00A807C5"/>
    <w:rsid w:val="00A8101A"/>
    <w:rsid w:val="00A81410"/>
    <w:rsid w:val="00A818AF"/>
    <w:rsid w:val="00A821E2"/>
    <w:rsid w:val="00A82750"/>
    <w:rsid w:val="00A82A54"/>
    <w:rsid w:val="00A82AB7"/>
    <w:rsid w:val="00A82CC5"/>
    <w:rsid w:val="00A82EFC"/>
    <w:rsid w:val="00A83D71"/>
    <w:rsid w:val="00A83EAD"/>
    <w:rsid w:val="00A845EA"/>
    <w:rsid w:val="00A849A7"/>
    <w:rsid w:val="00A84A3E"/>
    <w:rsid w:val="00A8553D"/>
    <w:rsid w:val="00A861B5"/>
    <w:rsid w:val="00A86795"/>
    <w:rsid w:val="00A867C8"/>
    <w:rsid w:val="00A872C1"/>
    <w:rsid w:val="00A873A7"/>
    <w:rsid w:val="00A8786F"/>
    <w:rsid w:val="00A90A07"/>
    <w:rsid w:val="00A91BFA"/>
    <w:rsid w:val="00A92D02"/>
    <w:rsid w:val="00A93474"/>
    <w:rsid w:val="00A934C5"/>
    <w:rsid w:val="00A934E1"/>
    <w:rsid w:val="00A93619"/>
    <w:rsid w:val="00A93FA3"/>
    <w:rsid w:val="00A94179"/>
    <w:rsid w:val="00A9446B"/>
    <w:rsid w:val="00A94E4B"/>
    <w:rsid w:val="00A95690"/>
    <w:rsid w:val="00A964C0"/>
    <w:rsid w:val="00A97352"/>
    <w:rsid w:val="00AA123B"/>
    <w:rsid w:val="00AA16FB"/>
    <w:rsid w:val="00AA31BB"/>
    <w:rsid w:val="00AA31F8"/>
    <w:rsid w:val="00AA34A8"/>
    <w:rsid w:val="00AA405C"/>
    <w:rsid w:val="00AA4EB1"/>
    <w:rsid w:val="00AA5860"/>
    <w:rsid w:val="00AA65AF"/>
    <w:rsid w:val="00AA681C"/>
    <w:rsid w:val="00AA697C"/>
    <w:rsid w:val="00AA69C5"/>
    <w:rsid w:val="00AA74B5"/>
    <w:rsid w:val="00AA7947"/>
    <w:rsid w:val="00AA7FC0"/>
    <w:rsid w:val="00AB0267"/>
    <w:rsid w:val="00AB06E5"/>
    <w:rsid w:val="00AB1F95"/>
    <w:rsid w:val="00AB259E"/>
    <w:rsid w:val="00AB2A77"/>
    <w:rsid w:val="00AB2DC2"/>
    <w:rsid w:val="00AB35A5"/>
    <w:rsid w:val="00AB4A05"/>
    <w:rsid w:val="00AB4B6F"/>
    <w:rsid w:val="00AB4D18"/>
    <w:rsid w:val="00AB57B1"/>
    <w:rsid w:val="00AB65FC"/>
    <w:rsid w:val="00AB68B5"/>
    <w:rsid w:val="00AB6E7C"/>
    <w:rsid w:val="00AB705B"/>
    <w:rsid w:val="00AB7D6C"/>
    <w:rsid w:val="00AC0441"/>
    <w:rsid w:val="00AC0634"/>
    <w:rsid w:val="00AC0F06"/>
    <w:rsid w:val="00AC1298"/>
    <w:rsid w:val="00AC2001"/>
    <w:rsid w:val="00AC2469"/>
    <w:rsid w:val="00AC29A6"/>
    <w:rsid w:val="00AC37A9"/>
    <w:rsid w:val="00AC3918"/>
    <w:rsid w:val="00AC4AFB"/>
    <w:rsid w:val="00AC4E0C"/>
    <w:rsid w:val="00AC58DD"/>
    <w:rsid w:val="00AC5FAC"/>
    <w:rsid w:val="00AC739F"/>
    <w:rsid w:val="00AC778D"/>
    <w:rsid w:val="00AC7CD1"/>
    <w:rsid w:val="00AD09A2"/>
    <w:rsid w:val="00AD1923"/>
    <w:rsid w:val="00AD2315"/>
    <w:rsid w:val="00AD2ACC"/>
    <w:rsid w:val="00AD2BF3"/>
    <w:rsid w:val="00AD2DEB"/>
    <w:rsid w:val="00AD43B9"/>
    <w:rsid w:val="00AD4B21"/>
    <w:rsid w:val="00AD5523"/>
    <w:rsid w:val="00AD5604"/>
    <w:rsid w:val="00AD594D"/>
    <w:rsid w:val="00AD6217"/>
    <w:rsid w:val="00AD64A7"/>
    <w:rsid w:val="00AD6809"/>
    <w:rsid w:val="00AD6839"/>
    <w:rsid w:val="00AD6923"/>
    <w:rsid w:val="00AD7042"/>
    <w:rsid w:val="00AE0498"/>
    <w:rsid w:val="00AE061F"/>
    <w:rsid w:val="00AE16EB"/>
    <w:rsid w:val="00AE18F9"/>
    <w:rsid w:val="00AE264C"/>
    <w:rsid w:val="00AE3140"/>
    <w:rsid w:val="00AE5767"/>
    <w:rsid w:val="00AE5893"/>
    <w:rsid w:val="00AE5D22"/>
    <w:rsid w:val="00AE5DA7"/>
    <w:rsid w:val="00AE6ABE"/>
    <w:rsid w:val="00AE6AF9"/>
    <w:rsid w:val="00AE70D2"/>
    <w:rsid w:val="00AF0351"/>
    <w:rsid w:val="00AF0377"/>
    <w:rsid w:val="00AF0916"/>
    <w:rsid w:val="00AF139D"/>
    <w:rsid w:val="00AF1EDF"/>
    <w:rsid w:val="00AF2296"/>
    <w:rsid w:val="00AF2345"/>
    <w:rsid w:val="00AF27F0"/>
    <w:rsid w:val="00AF2F36"/>
    <w:rsid w:val="00AF3D70"/>
    <w:rsid w:val="00AF3EFD"/>
    <w:rsid w:val="00AF493C"/>
    <w:rsid w:val="00AF4B45"/>
    <w:rsid w:val="00AF5394"/>
    <w:rsid w:val="00AF5CB3"/>
    <w:rsid w:val="00AF62AF"/>
    <w:rsid w:val="00AF721B"/>
    <w:rsid w:val="00AF7737"/>
    <w:rsid w:val="00B00CD7"/>
    <w:rsid w:val="00B02A24"/>
    <w:rsid w:val="00B03C02"/>
    <w:rsid w:val="00B0453F"/>
    <w:rsid w:val="00B04E57"/>
    <w:rsid w:val="00B06997"/>
    <w:rsid w:val="00B07872"/>
    <w:rsid w:val="00B1012F"/>
    <w:rsid w:val="00B113FA"/>
    <w:rsid w:val="00B12B34"/>
    <w:rsid w:val="00B1356B"/>
    <w:rsid w:val="00B13970"/>
    <w:rsid w:val="00B13B04"/>
    <w:rsid w:val="00B13D7D"/>
    <w:rsid w:val="00B14CDC"/>
    <w:rsid w:val="00B14DB0"/>
    <w:rsid w:val="00B14EB8"/>
    <w:rsid w:val="00B151E9"/>
    <w:rsid w:val="00B15C8D"/>
    <w:rsid w:val="00B15D6D"/>
    <w:rsid w:val="00B15D6F"/>
    <w:rsid w:val="00B16341"/>
    <w:rsid w:val="00B167C9"/>
    <w:rsid w:val="00B17B86"/>
    <w:rsid w:val="00B2055B"/>
    <w:rsid w:val="00B211F6"/>
    <w:rsid w:val="00B21511"/>
    <w:rsid w:val="00B219FB"/>
    <w:rsid w:val="00B21CD5"/>
    <w:rsid w:val="00B228EA"/>
    <w:rsid w:val="00B22A71"/>
    <w:rsid w:val="00B239C5"/>
    <w:rsid w:val="00B2443D"/>
    <w:rsid w:val="00B245CF"/>
    <w:rsid w:val="00B26AED"/>
    <w:rsid w:val="00B26D19"/>
    <w:rsid w:val="00B27635"/>
    <w:rsid w:val="00B27AA8"/>
    <w:rsid w:val="00B30064"/>
    <w:rsid w:val="00B30728"/>
    <w:rsid w:val="00B318DB"/>
    <w:rsid w:val="00B31ADF"/>
    <w:rsid w:val="00B31B0A"/>
    <w:rsid w:val="00B31B72"/>
    <w:rsid w:val="00B323CA"/>
    <w:rsid w:val="00B34391"/>
    <w:rsid w:val="00B34664"/>
    <w:rsid w:val="00B34DBC"/>
    <w:rsid w:val="00B358E1"/>
    <w:rsid w:val="00B35C61"/>
    <w:rsid w:val="00B37054"/>
    <w:rsid w:val="00B3728F"/>
    <w:rsid w:val="00B378CD"/>
    <w:rsid w:val="00B4023E"/>
    <w:rsid w:val="00B403BC"/>
    <w:rsid w:val="00B40A80"/>
    <w:rsid w:val="00B4140D"/>
    <w:rsid w:val="00B4216B"/>
    <w:rsid w:val="00B42699"/>
    <w:rsid w:val="00B42CBA"/>
    <w:rsid w:val="00B431E0"/>
    <w:rsid w:val="00B438F1"/>
    <w:rsid w:val="00B43F56"/>
    <w:rsid w:val="00B44A39"/>
    <w:rsid w:val="00B44A96"/>
    <w:rsid w:val="00B450D3"/>
    <w:rsid w:val="00B4643E"/>
    <w:rsid w:val="00B466B6"/>
    <w:rsid w:val="00B50B6F"/>
    <w:rsid w:val="00B51C35"/>
    <w:rsid w:val="00B529DC"/>
    <w:rsid w:val="00B52FE1"/>
    <w:rsid w:val="00B533FC"/>
    <w:rsid w:val="00B5393A"/>
    <w:rsid w:val="00B53F08"/>
    <w:rsid w:val="00B54065"/>
    <w:rsid w:val="00B54B87"/>
    <w:rsid w:val="00B54BD9"/>
    <w:rsid w:val="00B54F60"/>
    <w:rsid w:val="00B550AB"/>
    <w:rsid w:val="00B553B3"/>
    <w:rsid w:val="00B5575E"/>
    <w:rsid w:val="00B5579B"/>
    <w:rsid w:val="00B562E7"/>
    <w:rsid w:val="00B566A1"/>
    <w:rsid w:val="00B56B5F"/>
    <w:rsid w:val="00B56BA4"/>
    <w:rsid w:val="00B600D0"/>
    <w:rsid w:val="00B60CF0"/>
    <w:rsid w:val="00B616F7"/>
    <w:rsid w:val="00B61B7E"/>
    <w:rsid w:val="00B61CF4"/>
    <w:rsid w:val="00B62C95"/>
    <w:rsid w:val="00B62CB0"/>
    <w:rsid w:val="00B62EA4"/>
    <w:rsid w:val="00B63A9B"/>
    <w:rsid w:val="00B63C96"/>
    <w:rsid w:val="00B63F69"/>
    <w:rsid w:val="00B643EE"/>
    <w:rsid w:val="00B64EF0"/>
    <w:rsid w:val="00B65123"/>
    <w:rsid w:val="00B65B41"/>
    <w:rsid w:val="00B65CDA"/>
    <w:rsid w:val="00B65DA1"/>
    <w:rsid w:val="00B65EC3"/>
    <w:rsid w:val="00B66C43"/>
    <w:rsid w:val="00B673B1"/>
    <w:rsid w:val="00B6744F"/>
    <w:rsid w:val="00B70CB1"/>
    <w:rsid w:val="00B70E14"/>
    <w:rsid w:val="00B71A8E"/>
    <w:rsid w:val="00B71FC8"/>
    <w:rsid w:val="00B72F3E"/>
    <w:rsid w:val="00B73296"/>
    <w:rsid w:val="00B73E0D"/>
    <w:rsid w:val="00B75E87"/>
    <w:rsid w:val="00B76941"/>
    <w:rsid w:val="00B7711D"/>
    <w:rsid w:val="00B77C7D"/>
    <w:rsid w:val="00B8072C"/>
    <w:rsid w:val="00B80B5D"/>
    <w:rsid w:val="00B819A7"/>
    <w:rsid w:val="00B81BE3"/>
    <w:rsid w:val="00B82388"/>
    <w:rsid w:val="00B8379A"/>
    <w:rsid w:val="00B83B40"/>
    <w:rsid w:val="00B842B6"/>
    <w:rsid w:val="00B84371"/>
    <w:rsid w:val="00B84747"/>
    <w:rsid w:val="00B84B7D"/>
    <w:rsid w:val="00B869E4"/>
    <w:rsid w:val="00B8717A"/>
    <w:rsid w:val="00B9308F"/>
    <w:rsid w:val="00B93BEC"/>
    <w:rsid w:val="00B93CC3"/>
    <w:rsid w:val="00B942BF"/>
    <w:rsid w:val="00B94EF4"/>
    <w:rsid w:val="00B95798"/>
    <w:rsid w:val="00B95D32"/>
    <w:rsid w:val="00B9629C"/>
    <w:rsid w:val="00B97DF4"/>
    <w:rsid w:val="00BA18CB"/>
    <w:rsid w:val="00BA190E"/>
    <w:rsid w:val="00BA1D8E"/>
    <w:rsid w:val="00BA2049"/>
    <w:rsid w:val="00BA2515"/>
    <w:rsid w:val="00BA2AD8"/>
    <w:rsid w:val="00BA45C0"/>
    <w:rsid w:val="00BA4BA6"/>
    <w:rsid w:val="00BA52B0"/>
    <w:rsid w:val="00BA5351"/>
    <w:rsid w:val="00BA5513"/>
    <w:rsid w:val="00BA5775"/>
    <w:rsid w:val="00BA5BA0"/>
    <w:rsid w:val="00BA60F4"/>
    <w:rsid w:val="00BA6817"/>
    <w:rsid w:val="00BA7212"/>
    <w:rsid w:val="00BB07FD"/>
    <w:rsid w:val="00BB0F81"/>
    <w:rsid w:val="00BB164E"/>
    <w:rsid w:val="00BB2326"/>
    <w:rsid w:val="00BB389C"/>
    <w:rsid w:val="00BB41B6"/>
    <w:rsid w:val="00BB46E7"/>
    <w:rsid w:val="00BB4B1D"/>
    <w:rsid w:val="00BB5D48"/>
    <w:rsid w:val="00BB6BEB"/>
    <w:rsid w:val="00BB6DC2"/>
    <w:rsid w:val="00BC017B"/>
    <w:rsid w:val="00BC0DD0"/>
    <w:rsid w:val="00BC17FC"/>
    <w:rsid w:val="00BC1FBD"/>
    <w:rsid w:val="00BC2398"/>
    <w:rsid w:val="00BC23AE"/>
    <w:rsid w:val="00BC2F3D"/>
    <w:rsid w:val="00BC3968"/>
    <w:rsid w:val="00BC3FDE"/>
    <w:rsid w:val="00BC41F0"/>
    <w:rsid w:val="00BC427C"/>
    <w:rsid w:val="00BC4666"/>
    <w:rsid w:val="00BC4935"/>
    <w:rsid w:val="00BC4F28"/>
    <w:rsid w:val="00BC54B4"/>
    <w:rsid w:val="00BC5836"/>
    <w:rsid w:val="00BC605E"/>
    <w:rsid w:val="00BC60B0"/>
    <w:rsid w:val="00BC6CB6"/>
    <w:rsid w:val="00BC6E80"/>
    <w:rsid w:val="00BC7036"/>
    <w:rsid w:val="00BC7767"/>
    <w:rsid w:val="00BD021A"/>
    <w:rsid w:val="00BD21C2"/>
    <w:rsid w:val="00BD2660"/>
    <w:rsid w:val="00BD2FFA"/>
    <w:rsid w:val="00BD3AFE"/>
    <w:rsid w:val="00BD40FA"/>
    <w:rsid w:val="00BD5289"/>
    <w:rsid w:val="00BD528F"/>
    <w:rsid w:val="00BD5505"/>
    <w:rsid w:val="00BD59F2"/>
    <w:rsid w:val="00BD66C9"/>
    <w:rsid w:val="00BD671C"/>
    <w:rsid w:val="00BD79CE"/>
    <w:rsid w:val="00BD7D37"/>
    <w:rsid w:val="00BE1C1B"/>
    <w:rsid w:val="00BE3832"/>
    <w:rsid w:val="00BE397A"/>
    <w:rsid w:val="00BE40DF"/>
    <w:rsid w:val="00BE49BB"/>
    <w:rsid w:val="00BE4F5A"/>
    <w:rsid w:val="00BE54D8"/>
    <w:rsid w:val="00BE5F3E"/>
    <w:rsid w:val="00BE673A"/>
    <w:rsid w:val="00BE6B42"/>
    <w:rsid w:val="00BE6CCC"/>
    <w:rsid w:val="00BE6F1C"/>
    <w:rsid w:val="00BE757B"/>
    <w:rsid w:val="00BE794A"/>
    <w:rsid w:val="00BF058D"/>
    <w:rsid w:val="00BF1114"/>
    <w:rsid w:val="00BF16D7"/>
    <w:rsid w:val="00BF1910"/>
    <w:rsid w:val="00BF3663"/>
    <w:rsid w:val="00BF3733"/>
    <w:rsid w:val="00BF4CC5"/>
    <w:rsid w:val="00BF5639"/>
    <w:rsid w:val="00BF58EF"/>
    <w:rsid w:val="00BF5C96"/>
    <w:rsid w:val="00BF5FC9"/>
    <w:rsid w:val="00BF65A6"/>
    <w:rsid w:val="00BF6901"/>
    <w:rsid w:val="00BF6C41"/>
    <w:rsid w:val="00BF6EFF"/>
    <w:rsid w:val="00BF6F6F"/>
    <w:rsid w:val="00BF76FD"/>
    <w:rsid w:val="00C00ECD"/>
    <w:rsid w:val="00C01A72"/>
    <w:rsid w:val="00C02E59"/>
    <w:rsid w:val="00C035AB"/>
    <w:rsid w:val="00C03B56"/>
    <w:rsid w:val="00C03C0C"/>
    <w:rsid w:val="00C04C6C"/>
    <w:rsid w:val="00C04E4C"/>
    <w:rsid w:val="00C05AD5"/>
    <w:rsid w:val="00C05C58"/>
    <w:rsid w:val="00C0626D"/>
    <w:rsid w:val="00C06AB4"/>
    <w:rsid w:val="00C06D19"/>
    <w:rsid w:val="00C07A9B"/>
    <w:rsid w:val="00C07AF8"/>
    <w:rsid w:val="00C07C93"/>
    <w:rsid w:val="00C10313"/>
    <w:rsid w:val="00C10683"/>
    <w:rsid w:val="00C10A43"/>
    <w:rsid w:val="00C10D87"/>
    <w:rsid w:val="00C1117B"/>
    <w:rsid w:val="00C1168E"/>
    <w:rsid w:val="00C12050"/>
    <w:rsid w:val="00C12E6A"/>
    <w:rsid w:val="00C13CBA"/>
    <w:rsid w:val="00C13FC2"/>
    <w:rsid w:val="00C14087"/>
    <w:rsid w:val="00C1436B"/>
    <w:rsid w:val="00C14A64"/>
    <w:rsid w:val="00C14D7B"/>
    <w:rsid w:val="00C15042"/>
    <w:rsid w:val="00C15162"/>
    <w:rsid w:val="00C15E05"/>
    <w:rsid w:val="00C17CDC"/>
    <w:rsid w:val="00C20954"/>
    <w:rsid w:val="00C20BDE"/>
    <w:rsid w:val="00C20E5A"/>
    <w:rsid w:val="00C21CFB"/>
    <w:rsid w:val="00C21D59"/>
    <w:rsid w:val="00C22D9F"/>
    <w:rsid w:val="00C2386B"/>
    <w:rsid w:val="00C2392D"/>
    <w:rsid w:val="00C2411B"/>
    <w:rsid w:val="00C248F4"/>
    <w:rsid w:val="00C253B6"/>
    <w:rsid w:val="00C25737"/>
    <w:rsid w:val="00C258ED"/>
    <w:rsid w:val="00C25ACC"/>
    <w:rsid w:val="00C26154"/>
    <w:rsid w:val="00C266E5"/>
    <w:rsid w:val="00C26B16"/>
    <w:rsid w:val="00C27B1F"/>
    <w:rsid w:val="00C316F6"/>
    <w:rsid w:val="00C317FE"/>
    <w:rsid w:val="00C32F3E"/>
    <w:rsid w:val="00C33804"/>
    <w:rsid w:val="00C3495E"/>
    <w:rsid w:val="00C35976"/>
    <w:rsid w:val="00C361A0"/>
    <w:rsid w:val="00C36C34"/>
    <w:rsid w:val="00C37613"/>
    <w:rsid w:val="00C37C4A"/>
    <w:rsid w:val="00C37D7E"/>
    <w:rsid w:val="00C37EF1"/>
    <w:rsid w:val="00C413DB"/>
    <w:rsid w:val="00C416C6"/>
    <w:rsid w:val="00C42B90"/>
    <w:rsid w:val="00C42C26"/>
    <w:rsid w:val="00C42F4D"/>
    <w:rsid w:val="00C43999"/>
    <w:rsid w:val="00C442FD"/>
    <w:rsid w:val="00C44AD6"/>
    <w:rsid w:val="00C4587D"/>
    <w:rsid w:val="00C45D49"/>
    <w:rsid w:val="00C45E6B"/>
    <w:rsid w:val="00C46000"/>
    <w:rsid w:val="00C50A73"/>
    <w:rsid w:val="00C50CE1"/>
    <w:rsid w:val="00C50E37"/>
    <w:rsid w:val="00C51992"/>
    <w:rsid w:val="00C5223B"/>
    <w:rsid w:val="00C5313F"/>
    <w:rsid w:val="00C534EC"/>
    <w:rsid w:val="00C540AD"/>
    <w:rsid w:val="00C542B3"/>
    <w:rsid w:val="00C54B31"/>
    <w:rsid w:val="00C54D9E"/>
    <w:rsid w:val="00C55592"/>
    <w:rsid w:val="00C55CCD"/>
    <w:rsid w:val="00C5623B"/>
    <w:rsid w:val="00C566E0"/>
    <w:rsid w:val="00C566FD"/>
    <w:rsid w:val="00C56A76"/>
    <w:rsid w:val="00C57329"/>
    <w:rsid w:val="00C5796F"/>
    <w:rsid w:val="00C57A47"/>
    <w:rsid w:val="00C602DB"/>
    <w:rsid w:val="00C60A1F"/>
    <w:rsid w:val="00C60DA6"/>
    <w:rsid w:val="00C61DE3"/>
    <w:rsid w:val="00C62AFF"/>
    <w:rsid w:val="00C63B04"/>
    <w:rsid w:val="00C645DD"/>
    <w:rsid w:val="00C64A5C"/>
    <w:rsid w:val="00C65B2D"/>
    <w:rsid w:val="00C65D54"/>
    <w:rsid w:val="00C66AF2"/>
    <w:rsid w:val="00C66AF5"/>
    <w:rsid w:val="00C67055"/>
    <w:rsid w:val="00C67B2D"/>
    <w:rsid w:val="00C703B6"/>
    <w:rsid w:val="00C70646"/>
    <w:rsid w:val="00C70CE0"/>
    <w:rsid w:val="00C70E7C"/>
    <w:rsid w:val="00C71161"/>
    <w:rsid w:val="00C71BEE"/>
    <w:rsid w:val="00C73276"/>
    <w:rsid w:val="00C7329F"/>
    <w:rsid w:val="00C736C2"/>
    <w:rsid w:val="00C73BD5"/>
    <w:rsid w:val="00C74089"/>
    <w:rsid w:val="00C7440C"/>
    <w:rsid w:val="00C74C2E"/>
    <w:rsid w:val="00C7549E"/>
    <w:rsid w:val="00C75C5A"/>
    <w:rsid w:val="00C76358"/>
    <w:rsid w:val="00C80176"/>
    <w:rsid w:val="00C80AC1"/>
    <w:rsid w:val="00C8112F"/>
    <w:rsid w:val="00C81FBC"/>
    <w:rsid w:val="00C828AA"/>
    <w:rsid w:val="00C8354E"/>
    <w:rsid w:val="00C83A54"/>
    <w:rsid w:val="00C85103"/>
    <w:rsid w:val="00C85CAF"/>
    <w:rsid w:val="00C868B2"/>
    <w:rsid w:val="00C87030"/>
    <w:rsid w:val="00C8704B"/>
    <w:rsid w:val="00C87B57"/>
    <w:rsid w:val="00C87DFB"/>
    <w:rsid w:val="00C914A5"/>
    <w:rsid w:val="00C93105"/>
    <w:rsid w:val="00C932B1"/>
    <w:rsid w:val="00C93334"/>
    <w:rsid w:val="00C9489F"/>
    <w:rsid w:val="00C957B3"/>
    <w:rsid w:val="00C958B8"/>
    <w:rsid w:val="00C95D93"/>
    <w:rsid w:val="00C97538"/>
    <w:rsid w:val="00CA157D"/>
    <w:rsid w:val="00CA1A08"/>
    <w:rsid w:val="00CA1D71"/>
    <w:rsid w:val="00CA20CF"/>
    <w:rsid w:val="00CA238C"/>
    <w:rsid w:val="00CA2F40"/>
    <w:rsid w:val="00CA3F68"/>
    <w:rsid w:val="00CA4E08"/>
    <w:rsid w:val="00CA5751"/>
    <w:rsid w:val="00CA635B"/>
    <w:rsid w:val="00CA6AFA"/>
    <w:rsid w:val="00CA6DA0"/>
    <w:rsid w:val="00CA6FDD"/>
    <w:rsid w:val="00CA738B"/>
    <w:rsid w:val="00CB161F"/>
    <w:rsid w:val="00CB17A0"/>
    <w:rsid w:val="00CB1A08"/>
    <w:rsid w:val="00CB2538"/>
    <w:rsid w:val="00CB272F"/>
    <w:rsid w:val="00CB3929"/>
    <w:rsid w:val="00CB431D"/>
    <w:rsid w:val="00CB5391"/>
    <w:rsid w:val="00CB551A"/>
    <w:rsid w:val="00CB6493"/>
    <w:rsid w:val="00CB64AD"/>
    <w:rsid w:val="00CB64D8"/>
    <w:rsid w:val="00CB66FA"/>
    <w:rsid w:val="00CB686F"/>
    <w:rsid w:val="00CB6DEF"/>
    <w:rsid w:val="00CB77C9"/>
    <w:rsid w:val="00CC0BEA"/>
    <w:rsid w:val="00CC0D15"/>
    <w:rsid w:val="00CC185F"/>
    <w:rsid w:val="00CC2642"/>
    <w:rsid w:val="00CC2BED"/>
    <w:rsid w:val="00CC315D"/>
    <w:rsid w:val="00CC4657"/>
    <w:rsid w:val="00CC55B4"/>
    <w:rsid w:val="00CC71D8"/>
    <w:rsid w:val="00CD0DBC"/>
    <w:rsid w:val="00CD0DF1"/>
    <w:rsid w:val="00CD1D13"/>
    <w:rsid w:val="00CD37D6"/>
    <w:rsid w:val="00CD3A40"/>
    <w:rsid w:val="00CD47CE"/>
    <w:rsid w:val="00CD49E8"/>
    <w:rsid w:val="00CD4C1B"/>
    <w:rsid w:val="00CD4E0A"/>
    <w:rsid w:val="00CD4F83"/>
    <w:rsid w:val="00CD5545"/>
    <w:rsid w:val="00CD5C88"/>
    <w:rsid w:val="00CD6D79"/>
    <w:rsid w:val="00CE1E9A"/>
    <w:rsid w:val="00CE234C"/>
    <w:rsid w:val="00CE2AEF"/>
    <w:rsid w:val="00CE2FF2"/>
    <w:rsid w:val="00CE325F"/>
    <w:rsid w:val="00CE3F65"/>
    <w:rsid w:val="00CE423D"/>
    <w:rsid w:val="00CE4677"/>
    <w:rsid w:val="00CE4DE5"/>
    <w:rsid w:val="00CE5594"/>
    <w:rsid w:val="00CE69CC"/>
    <w:rsid w:val="00CF053F"/>
    <w:rsid w:val="00CF0D9A"/>
    <w:rsid w:val="00CF1649"/>
    <w:rsid w:val="00CF1F57"/>
    <w:rsid w:val="00CF208F"/>
    <w:rsid w:val="00CF2159"/>
    <w:rsid w:val="00CF21B3"/>
    <w:rsid w:val="00CF2796"/>
    <w:rsid w:val="00CF2C7F"/>
    <w:rsid w:val="00CF31CB"/>
    <w:rsid w:val="00CF47F8"/>
    <w:rsid w:val="00CF4A25"/>
    <w:rsid w:val="00CF4B4B"/>
    <w:rsid w:val="00CF5D8C"/>
    <w:rsid w:val="00CF6316"/>
    <w:rsid w:val="00CF727D"/>
    <w:rsid w:val="00CF795C"/>
    <w:rsid w:val="00D00259"/>
    <w:rsid w:val="00D004B9"/>
    <w:rsid w:val="00D008C9"/>
    <w:rsid w:val="00D0285E"/>
    <w:rsid w:val="00D0293A"/>
    <w:rsid w:val="00D02FD1"/>
    <w:rsid w:val="00D03289"/>
    <w:rsid w:val="00D03729"/>
    <w:rsid w:val="00D03A02"/>
    <w:rsid w:val="00D04990"/>
    <w:rsid w:val="00D04CAE"/>
    <w:rsid w:val="00D064C7"/>
    <w:rsid w:val="00D1067E"/>
    <w:rsid w:val="00D109CD"/>
    <w:rsid w:val="00D10E2B"/>
    <w:rsid w:val="00D117BB"/>
    <w:rsid w:val="00D1331B"/>
    <w:rsid w:val="00D1345D"/>
    <w:rsid w:val="00D13621"/>
    <w:rsid w:val="00D137DA"/>
    <w:rsid w:val="00D147D8"/>
    <w:rsid w:val="00D15207"/>
    <w:rsid w:val="00D1525E"/>
    <w:rsid w:val="00D1535B"/>
    <w:rsid w:val="00D15AB8"/>
    <w:rsid w:val="00D1663E"/>
    <w:rsid w:val="00D16940"/>
    <w:rsid w:val="00D16C90"/>
    <w:rsid w:val="00D175D7"/>
    <w:rsid w:val="00D17689"/>
    <w:rsid w:val="00D179B5"/>
    <w:rsid w:val="00D20CDC"/>
    <w:rsid w:val="00D20D76"/>
    <w:rsid w:val="00D20F01"/>
    <w:rsid w:val="00D21452"/>
    <w:rsid w:val="00D2149A"/>
    <w:rsid w:val="00D2190B"/>
    <w:rsid w:val="00D2192B"/>
    <w:rsid w:val="00D21B33"/>
    <w:rsid w:val="00D22201"/>
    <w:rsid w:val="00D222A4"/>
    <w:rsid w:val="00D22328"/>
    <w:rsid w:val="00D22D65"/>
    <w:rsid w:val="00D2358E"/>
    <w:rsid w:val="00D23C69"/>
    <w:rsid w:val="00D23F18"/>
    <w:rsid w:val="00D24257"/>
    <w:rsid w:val="00D24E30"/>
    <w:rsid w:val="00D2565C"/>
    <w:rsid w:val="00D256F4"/>
    <w:rsid w:val="00D25D2D"/>
    <w:rsid w:val="00D26E81"/>
    <w:rsid w:val="00D27032"/>
    <w:rsid w:val="00D2768B"/>
    <w:rsid w:val="00D30457"/>
    <w:rsid w:val="00D30956"/>
    <w:rsid w:val="00D309AF"/>
    <w:rsid w:val="00D30B71"/>
    <w:rsid w:val="00D30DE0"/>
    <w:rsid w:val="00D30DF8"/>
    <w:rsid w:val="00D31F67"/>
    <w:rsid w:val="00D32580"/>
    <w:rsid w:val="00D32777"/>
    <w:rsid w:val="00D3281F"/>
    <w:rsid w:val="00D3297D"/>
    <w:rsid w:val="00D338B3"/>
    <w:rsid w:val="00D33AD0"/>
    <w:rsid w:val="00D33B2D"/>
    <w:rsid w:val="00D34489"/>
    <w:rsid w:val="00D35292"/>
    <w:rsid w:val="00D3569A"/>
    <w:rsid w:val="00D3622C"/>
    <w:rsid w:val="00D364F9"/>
    <w:rsid w:val="00D37438"/>
    <w:rsid w:val="00D37892"/>
    <w:rsid w:val="00D37DD8"/>
    <w:rsid w:val="00D40F69"/>
    <w:rsid w:val="00D4125D"/>
    <w:rsid w:val="00D413C5"/>
    <w:rsid w:val="00D41427"/>
    <w:rsid w:val="00D43458"/>
    <w:rsid w:val="00D439E3"/>
    <w:rsid w:val="00D43A0D"/>
    <w:rsid w:val="00D44F47"/>
    <w:rsid w:val="00D450FD"/>
    <w:rsid w:val="00D451A6"/>
    <w:rsid w:val="00D45259"/>
    <w:rsid w:val="00D459D3"/>
    <w:rsid w:val="00D46D45"/>
    <w:rsid w:val="00D47521"/>
    <w:rsid w:val="00D50CBC"/>
    <w:rsid w:val="00D50DD6"/>
    <w:rsid w:val="00D5112B"/>
    <w:rsid w:val="00D51518"/>
    <w:rsid w:val="00D517DA"/>
    <w:rsid w:val="00D51E54"/>
    <w:rsid w:val="00D5246E"/>
    <w:rsid w:val="00D52549"/>
    <w:rsid w:val="00D52795"/>
    <w:rsid w:val="00D52895"/>
    <w:rsid w:val="00D52C68"/>
    <w:rsid w:val="00D52DC7"/>
    <w:rsid w:val="00D544FF"/>
    <w:rsid w:val="00D5472F"/>
    <w:rsid w:val="00D55747"/>
    <w:rsid w:val="00D563B1"/>
    <w:rsid w:val="00D5684B"/>
    <w:rsid w:val="00D60216"/>
    <w:rsid w:val="00D61844"/>
    <w:rsid w:val="00D61958"/>
    <w:rsid w:val="00D61BE9"/>
    <w:rsid w:val="00D61DFE"/>
    <w:rsid w:val="00D6274A"/>
    <w:rsid w:val="00D62AA3"/>
    <w:rsid w:val="00D632D8"/>
    <w:rsid w:val="00D63334"/>
    <w:rsid w:val="00D6364A"/>
    <w:rsid w:val="00D63E0C"/>
    <w:rsid w:val="00D63F75"/>
    <w:rsid w:val="00D64327"/>
    <w:rsid w:val="00D651A2"/>
    <w:rsid w:val="00D6539A"/>
    <w:rsid w:val="00D655E0"/>
    <w:rsid w:val="00D6579A"/>
    <w:rsid w:val="00D6609E"/>
    <w:rsid w:val="00D66797"/>
    <w:rsid w:val="00D676C4"/>
    <w:rsid w:val="00D67C69"/>
    <w:rsid w:val="00D70289"/>
    <w:rsid w:val="00D7092A"/>
    <w:rsid w:val="00D70DB4"/>
    <w:rsid w:val="00D71663"/>
    <w:rsid w:val="00D719AC"/>
    <w:rsid w:val="00D72535"/>
    <w:rsid w:val="00D73777"/>
    <w:rsid w:val="00D737BF"/>
    <w:rsid w:val="00D73F6B"/>
    <w:rsid w:val="00D745C0"/>
    <w:rsid w:val="00D747AE"/>
    <w:rsid w:val="00D74B68"/>
    <w:rsid w:val="00D74BBF"/>
    <w:rsid w:val="00D755D2"/>
    <w:rsid w:val="00D758A3"/>
    <w:rsid w:val="00D766A1"/>
    <w:rsid w:val="00D766E4"/>
    <w:rsid w:val="00D76A60"/>
    <w:rsid w:val="00D77392"/>
    <w:rsid w:val="00D80250"/>
    <w:rsid w:val="00D80312"/>
    <w:rsid w:val="00D80C2C"/>
    <w:rsid w:val="00D810B0"/>
    <w:rsid w:val="00D8133A"/>
    <w:rsid w:val="00D81559"/>
    <w:rsid w:val="00D82910"/>
    <w:rsid w:val="00D8310F"/>
    <w:rsid w:val="00D83A4A"/>
    <w:rsid w:val="00D83D86"/>
    <w:rsid w:val="00D84156"/>
    <w:rsid w:val="00D846C5"/>
    <w:rsid w:val="00D848B2"/>
    <w:rsid w:val="00D84D6E"/>
    <w:rsid w:val="00D8609D"/>
    <w:rsid w:val="00D86852"/>
    <w:rsid w:val="00D87197"/>
    <w:rsid w:val="00D872E2"/>
    <w:rsid w:val="00D900C6"/>
    <w:rsid w:val="00D90522"/>
    <w:rsid w:val="00D90AC8"/>
    <w:rsid w:val="00D917C3"/>
    <w:rsid w:val="00D9201C"/>
    <w:rsid w:val="00D9250B"/>
    <w:rsid w:val="00D9284F"/>
    <w:rsid w:val="00D9302D"/>
    <w:rsid w:val="00D934C5"/>
    <w:rsid w:val="00D93847"/>
    <w:rsid w:val="00D94458"/>
    <w:rsid w:val="00D94811"/>
    <w:rsid w:val="00D94938"/>
    <w:rsid w:val="00D977D3"/>
    <w:rsid w:val="00D9787F"/>
    <w:rsid w:val="00D97C6B"/>
    <w:rsid w:val="00DA0617"/>
    <w:rsid w:val="00DA0CEB"/>
    <w:rsid w:val="00DA0D0F"/>
    <w:rsid w:val="00DA13CA"/>
    <w:rsid w:val="00DA2CBE"/>
    <w:rsid w:val="00DA3067"/>
    <w:rsid w:val="00DA372B"/>
    <w:rsid w:val="00DA38CB"/>
    <w:rsid w:val="00DA3E34"/>
    <w:rsid w:val="00DA403B"/>
    <w:rsid w:val="00DA4DCB"/>
    <w:rsid w:val="00DA530F"/>
    <w:rsid w:val="00DA5918"/>
    <w:rsid w:val="00DA5A9B"/>
    <w:rsid w:val="00DA5AEE"/>
    <w:rsid w:val="00DA5D30"/>
    <w:rsid w:val="00DA7865"/>
    <w:rsid w:val="00DB0745"/>
    <w:rsid w:val="00DB0A88"/>
    <w:rsid w:val="00DB1015"/>
    <w:rsid w:val="00DB1504"/>
    <w:rsid w:val="00DB2BC4"/>
    <w:rsid w:val="00DB3040"/>
    <w:rsid w:val="00DB5114"/>
    <w:rsid w:val="00DB5543"/>
    <w:rsid w:val="00DB5597"/>
    <w:rsid w:val="00DB5CE1"/>
    <w:rsid w:val="00DB7EC8"/>
    <w:rsid w:val="00DB7F4C"/>
    <w:rsid w:val="00DC01F9"/>
    <w:rsid w:val="00DC0693"/>
    <w:rsid w:val="00DC080C"/>
    <w:rsid w:val="00DC0E56"/>
    <w:rsid w:val="00DC1763"/>
    <w:rsid w:val="00DC1802"/>
    <w:rsid w:val="00DC1C35"/>
    <w:rsid w:val="00DC2E65"/>
    <w:rsid w:val="00DC3563"/>
    <w:rsid w:val="00DC3677"/>
    <w:rsid w:val="00DC3FAA"/>
    <w:rsid w:val="00DC462B"/>
    <w:rsid w:val="00DC4CE5"/>
    <w:rsid w:val="00DC59A6"/>
    <w:rsid w:val="00DC62D0"/>
    <w:rsid w:val="00DC63C9"/>
    <w:rsid w:val="00DC6673"/>
    <w:rsid w:val="00DC680D"/>
    <w:rsid w:val="00DC6CD8"/>
    <w:rsid w:val="00DC6DCF"/>
    <w:rsid w:val="00DC70BF"/>
    <w:rsid w:val="00DC7295"/>
    <w:rsid w:val="00DC7495"/>
    <w:rsid w:val="00DD0286"/>
    <w:rsid w:val="00DD0E74"/>
    <w:rsid w:val="00DD1045"/>
    <w:rsid w:val="00DD1171"/>
    <w:rsid w:val="00DD11BA"/>
    <w:rsid w:val="00DD18FD"/>
    <w:rsid w:val="00DD1D1C"/>
    <w:rsid w:val="00DD2146"/>
    <w:rsid w:val="00DD2B7E"/>
    <w:rsid w:val="00DD2DA3"/>
    <w:rsid w:val="00DD311D"/>
    <w:rsid w:val="00DD3F09"/>
    <w:rsid w:val="00DD41AF"/>
    <w:rsid w:val="00DD56B2"/>
    <w:rsid w:val="00DD5A4F"/>
    <w:rsid w:val="00DD5A5B"/>
    <w:rsid w:val="00DD715A"/>
    <w:rsid w:val="00DD76AA"/>
    <w:rsid w:val="00DD78B2"/>
    <w:rsid w:val="00DD7BAE"/>
    <w:rsid w:val="00DE095E"/>
    <w:rsid w:val="00DE0B91"/>
    <w:rsid w:val="00DE0DB0"/>
    <w:rsid w:val="00DE1105"/>
    <w:rsid w:val="00DE1A4C"/>
    <w:rsid w:val="00DE242A"/>
    <w:rsid w:val="00DE2A59"/>
    <w:rsid w:val="00DE2AE7"/>
    <w:rsid w:val="00DE2D78"/>
    <w:rsid w:val="00DE3008"/>
    <w:rsid w:val="00DE3171"/>
    <w:rsid w:val="00DE4A11"/>
    <w:rsid w:val="00DE4F25"/>
    <w:rsid w:val="00DE50BB"/>
    <w:rsid w:val="00DE5AB2"/>
    <w:rsid w:val="00DE663C"/>
    <w:rsid w:val="00DE6CFC"/>
    <w:rsid w:val="00DE6F20"/>
    <w:rsid w:val="00DF03E2"/>
    <w:rsid w:val="00DF1531"/>
    <w:rsid w:val="00DF1B63"/>
    <w:rsid w:val="00DF289D"/>
    <w:rsid w:val="00DF343E"/>
    <w:rsid w:val="00DF503E"/>
    <w:rsid w:val="00DF54D3"/>
    <w:rsid w:val="00E001C1"/>
    <w:rsid w:val="00E0149A"/>
    <w:rsid w:val="00E032CF"/>
    <w:rsid w:val="00E03BFA"/>
    <w:rsid w:val="00E043A3"/>
    <w:rsid w:val="00E04A3F"/>
    <w:rsid w:val="00E04D7A"/>
    <w:rsid w:val="00E04EDF"/>
    <w:rsid w:val="00E05EBE"/>
    <w:rsid w:val="00E06621"/>
    <w:rsid w:val="00E07730"/>
    <w:rsid w:val="00E07A56"/>
    <w:rsid w:val="00E127CD"/>
    <w:rsid w:val="00E12E4B"/>
    <w:rsid w:val="00E135DB"/>
    <w:rsid w:val="00E140CE"/>
    <w:rsid w:val="00E14232"/>
    <w:rsid w:val="00E14559"/>
    <w:rsid w:val="00E14828"/>
    <w:rsid w:val="00E161F5"/>
    <w:rsid w:val="00E16669"/>
    <w:rsid w:val="00E175E9"/>
    <w:rsid w:val="00E17BBA"/>
    <w:rsid w:val="00E20643"/>
    <w:rsid w:val="00E20E0E"/>
    <w:rsid w:val="00E21469"/>
    <w:rsid w:val="00E2177D"/>
    <w:rsid w:val="00E218D7"/>
    <w:rsid w:val="00E22B08"/>
    <w:rsid w:val="00E23ADE"/>
    <w:rsid w:val="00E245E0"/>
    <w:rsid w:val="00E255EB"/>
    <w:rsid w:val="00E25E32"/>
    <w:rsid w:val="00E26C75"/>
    <w:rsid w:val="00E27BF5"/>
    <w:rsid w:val="00E27FF7"/>
    <w:rsid w:val="00E30AD5"/>
    <w:rsid w:val="00E30F30"/>
    <w:rsid w:val="00E31559"/>
    <w:rsid w:val="00E320A7"/>
    <w:rsid w:val="00E32154"/>
    <w:rsid w:val="00E322D9"/>
    <w:rsid w:val="00E3233F"/>
    <w:rsid w:val="00E3296A"/>
    <w:rsid w:val="00E333E3"/>
    <w:rsid w:val="00E33BA6"/>
    <w:rsid w:val="00E34535"/>
    <w:rsid w:val="00E345ED"/>
    <w:rsid w:val="00E347F7"/>
    <w:rsid w:val="00E34DDE"/>
    <w:rsid w:val="00E355AC"/>
    <w:rsid w:val="00E355F6"/>
    <w:rsid w:val="00E35C94"/>
    <w:rsid w:val="00E3701A"/>
    <w:rsid w:val="00E412CE"/>
    <w:rsid w:val="00E4280B"/>
    <w:rsid w:val="00E42A0A"/>
    <w:rsid w:val="00E4357D"/>
    <w:rsid w:val="00E43816"/>
    <w:rsid w:val="00E43FBD"/>
    <w:rsid w:val="00E44347"/>
    <w:rsid w:val="00E44623"/>
    <w:rsid w:val="00E44EFD"/>
    <w:rsid w:val="00E4531A"/>
    <w:rsid w:val="00E45AE0"/>
    <w:rsid w:val="00E45E97"/>
    <w:rsid w:val="00E464B6"/>
    <w:rsid w:val="00E46506"/>
    <w:rsid w:val="00E46A4C"/>
    <w:rsid w:val="00E46BB4"/>
    <w:rsid w:val="00E5083E"/>
    <w:rsid w:val="00E50A6D"/>
    <w:rsid w:val="00E50AE8"/>
    <w:rsid w:val="00E510C9"/>
    <w:rsid w:val="00E51167"/>
    <w:rsid w:val="00E512A1"/>
    <w:rsid w:val="00E51CC9"/>
    <w:rsid w:val="00E51F00"/>
    <w:rsid w:val="00E52B1E"/>
    <w:rsid w:val="00E53B80"/>
    <w:rsid w:val="00E540CF"/>
    <w:rsid w:val="00E541BD"/>
    <w:rsid w:val="00E5429A"/>
    <w:rsid w:val="00E54A16"/>
    <w:rsid w:val="00E54D11"/>
    <w:rsid w:val="00E54E60"/>
    <w:rsid w:val="00E55679"/>
    <w:rsid w:val="00E55CB4"/>
    <w:rsid w:val="00E56588"/>
    <w:rsid w:val="00E56FCC"/>
    <w:rsid w:val="00E5709F"/>
    <w:rsid w:val="00E57159"/>
    <w:rsid w:val="00E573F0"/>
    <w:rsid w:val="00E57CA4"/>
    <w:rsid w:val="00E57CE8"/>
    <w:rsid w:val="00E61058"/>
    <w:rsid w:val="00E61562"/>
    <w:rsid w:val="00E62830"/>
    <w:rsid w:val="00E62980"/>
    <w:rsid w:val="00E6325F"/>
    <w:rsid w:val="00E63329"/>
    <w:rsid w:val="00E6338A"/>
    <w:rsid w:val="00E6367D"/>
    <w:rsid w:val="00E64CF8"/>
    <w:rsid w:val="00E66307"/>
    <w:rsid w:val="00E666F4"/>
    <w:rsid w:val="00E66731"/>
    <w:rsid w:val="00E668D3"/>
    <w:rsid w:val="00E66AF5"/>
    <w:rsid w:val="00E67F39"/>
    <w:rsid w:val="00E70351"/>
    <w:rsid w:val="00E7112A"/>
    <w:rsid w:val="00E7274A"/>
    <w:rsid w:val="00E72E3C"/>
    <w:rsid w:val="00E7323C"/>
    <w:rsid w:val="00E737A0"/>
    <w:rsid w:val="00E738AF"/>
    <w:rsid w:val="00E73C2C"/>
    <w:rsid w:val="00E74174"/>
    <w:rsid w:val="00E74EAD"/>
    <w:rsid w:val="00E74FD7"/>
    <w:rsid w:val="00E751DF"/>
    <w:rsid w:val="00E75261"/>
    <w:rsid w:val="00E758AA"/>
    <w:rsid w:val="00E761B5"/>
    <w:rsid w:val="00E76BB3"/>
    <w:rsid w:val="00E76CA9"/>
    <w:rsid w:val="00E8093C"/>
    <w:rsid w:val="00E80C40"/>
    <w:rsid w:val="00E81370"/>
    <w:rsid w:val="00E82B42"/>
    <w:rsid w:val="00E8375B"/>
    <w:rsid w:val="00E83BFB"/>
    <w:rsid w:val="00E84052"/>
    <w:rsid w:val="00E84736"/>
    <w:rsid w:val="00E8509E"/>
    <w:rsid w:val="00E85B5A"/>
    <w:rsid w:val="00E85F48"/>
    <w:rsid w:val="00E8642E"/>
    <w:rsid w:val="00E865DB"/>
    <w:rsid w:val="00E8663D"/>
    <w:rsid w:val="00E866EE"/>
    <w:rsid w:val="00E86C9C"/>
    <w:rsid w:val="00E87864"/>
    <w:rsid w:val="00E91196"/>
    <w:rsid w:val="00E91A78"/>
    <w:rsid w:val="00E91E38"/>
    <w:rsid w:val="00E929B2"/>
    <w:rsid w:val="00E932C6"/>
    <w:rsid w:val="00E94DAA"/>
    <w:rsid w:val="00E96382"/>
    <w:rsid w:val="00E9655D"/>
    <w:rsid w:val="00E97E59"/>
    <w:rsid w:val="00EA0911"/>
    <w:rsid w:val="00EA092F"/>
    <w:rsid w:val="00EA0960"/>
    <w:rsid w:val="00EA1252"/>
    <w:rsid w:val="00EA2484"/>
    <w:rsid w:val="00EA24EA"/>
    <w:rsid w:val="00EA2AB7"/>
    <w:rsid w:val="00EA2E47"/>
    <w:rsid w:val="00EA327A"/>
    <w:rsid w:val="00EA3C0F"/>
    <w:rsid w:val="00EA467D"/>
    <w:rsid w:val="00EA5E78"/>
    <w:rsid w:val="00EA5EB3"/>
    <w:rsid w:val="00EA6204"/>
    <w:rsid w:val="00EA6D18"/>
    <w:rsid w:val="00EA77E6"/>
    <w:rsid w:val="00EA7ABE"/>
    <w:rsid w:val="00EA7C45"/>
    <w:rsid w:val="00EB00FD"/>
    <w:rsid w:val="00EB03A1"/>
    <w:rsid w:val="00EB03B8"/>
    <w:rsid w:val="00EB0503"/>
    <w:rsid w:val="00EB0D2C"/>
    <w:rsid w:val="00EB0DBB"/>
    <w:rsid w:val="00EB1211"/>
    <w:rsid w:val="00EB1441"/>
    <w:rsid w:val="00EB2B80"/>
    <w:rsid w:val="00EB33BE"/>
    <w:rsid w:val="00EB33E2"/>
    <w:rsid w:val="00EB3F0B"/>
    <w:rsid w:val="00EB4DB2"/>
    <w:rsid w:val="00EB6C1B"/>
    <w:rsid w:val="00EB7C27"/>
    <w:rsid w:val="00EB7C92"/>
    <w:rsid w:val="00EC07F8"/>
    <w:rsid w:val="00EC0B31"/>
    <w:rsid w:val="00EC0BBD"/>
    <w:rsid w:val="00EC1622"/>
    <w:rsid w:val="00EC1870"/>
    <w:rsid w:val="00EC1996"/>
    <w:rsid w:val="00EC1DAB"/>
    <w:rsid w:val="00EC24F0"/>
    <w:rsid w:val="00EC3C76"/>
    <w:rsid w:val="00EC4E0A"/>
    <w:rsid w:val="00EC4E17"/>
    <w:rsid w:val="00EC55B3"/>
    <w:rsid w:val="00EC56AE"/>
    <w:rsid w:val="00EC658F"/>
    <w:rsid w:val="00ED093F"/>
    <w:rsid w:val="00ED18E5"/>
    <w:rsid w:val="00ED23F4"/>
    <w:rsid w:val="00ED24D5"/>
    <w:rsid w:val="00ED2C60"/>
    <w:rsid w:val="00ED3025"/>
    <w:rsid w:val="00ED35D6"/>
    <w:rsid w:val="00ED40EC"/>
    <w:rsid w:val="00ED508B"/>
    <w:rsid w:val="00ED5781"/>
    <w:rsid w:val="00ED5791"/>
    <w:rsid w:val="00ED5E04"/>
    <w:rsid w:val="00ED5E27"/>
    <w:rsid w:val="00ED5F3A"/>
    <w:rsid w:val="00ED61C3"/>
    <w:rsid w:val="00ED62B8"/>
    <w:rsid w:val="00ED64F2"/>
    <w:rsid w:val="00ED6890"/>
    <w:rsid w:val="00ED6F64"/>
    <w:rsid w:val="00ED7384"/>
    <w:rsid w:val="00ED765D"/>
    <w:rsid w:val="00ED7A7E"/>
    <w:rsid w:val="00ED7DB3"/>
    <w:rsid w:val="00EE03A9"/>
    <w:rsid w:val="00EE0614"/>
    <w:rsid w:val="00EE07CA"/>
    <w:rsid w:val="00EE1C7B"/>
    <w:rsid w:val="00EE3034"/>
    <w:rsid w:val="00EE3271"/>
    <w:rsid w:val="00EE4494"/>
    <w:rsid w:val="00EE4758"/>
    <w:rsid w:val="00EE4F78"/>
    <w:rsid w:val="00EE5C76"/>
    <w:rsid w:val="00EE659D"/>
    <w:rsid w:val="00EE6F72"/>
    <w:rsid w:val="00EF0C17"/>
    <w:rsid w:val="00EF0DED"/>
    <w:rsid w:val="00EF0FAD"/>
    <w:rsid w:val="00EF2173"/>
    <w:rsid w:val="00EF28F6"/>
    <w:rsid w:val="00EF2968"/>
    <w:rsid w:val="00EF3845"/>
    <w:rsid w:val="00EF3AF5"/>
    <w:rsid w:val="00EF3B40"/>
    <w:rsid w:val="00EF3F2A"/>
    <w:rsid w:val="00EF405C"/>
    <w:rsid w:val="00EF464F"/>
    <w:rsid w:val="00EF56AC"/>
    <w:rsid w:val="00EF62A3"/>
    <w:rsid w:val="00EF6957"/>
    <w:rsid w:val="00EF6DE7"/>
    <w:rsid w:val="00F0062A"/>
    <w:rsid w:val="00F00BFC"/>
    <w:rsid w:val="00F00F7F"/>
    <w:rsid w:val="00F0122A"/>
    <w:rsid w:val="00F0132B"/>
    <w:rsid w:val="00F01B7A"/>
    <w:rsid w:val="00F01DD3"/>
    <w:rsid w:val="00F0207B"/>
    <w:rsid w:val="00F02394"/>
    <w:rsid w:val="00F033FC"/>
    <w:rsid w:val="00F03F36"/>
    <w:rsid w:val="00F03FB8"/>
    <w:rsid w:val="00F047AB"/>
    <w:rsid w:val="00F054D2"/>
    <w:rsid w:val="00F057D0"/>
    <w:rsid w:val="00F059CF"/>
    <w:rsid w:val="00F05E83"/>
    <w:rsid w:val="00F07C94"/>
    <w:rsid w:val="00F1007F"/>
    <w:rsid w:val="00F112D2"/>
    <w:rsid w:val="00F11810"/>
    <w:rsid w:val="00F1255E"/>
    <w:rsid w:val="00F12E76"/>
    <w:rsid w:val="00F1353F"/>
    <w:rsid w:val="00F13A55"/>
    <w:rsid w:val="00F1403E"/>
    <w:rsid w:val="00F1446E"/>
    <w:rsid w:val="00F14679"/>
    <w:rsid w:val="00F14B7D"/>
    <w:rsid w:val="00F14E65"/>
    <w:rsid w:val="00F14FF0"/>
    <w:rsid w:val="00F15670"/>
    <w:rsid w:val="00F15BE7"/>
    <w:rsid w:val="00F16727"/>
    <w:rsid w:val="00F16972"/>
    <w:rsid w:val="00F16BA6"/>
    <w:rsid w:val="00F20398"/>
    <w:rsid w:val="00F2099F"/>
    <w:rsid w:val="00F2197F"/>
    <w:rsid w:val="00F21EA3"/>
    <w:rsid w:val="00F2276C"/>
    <w:rsid w:val="00F2359F"/>
    <w:rsid w:val="00F23BB5"/>
    <w:rsid w:val="00F265B3"/>
    <w:rsid w:val="00F267D7"/>
    <w:rsid w:val="00F26D46"/>
    <w:rsid w:val="00F26E76"/>
    <w:rsid w:val="00F27795"/>
    <w:rsid w:val="00F2796A"/>
    <w:rsid w:val="00F27A07"/>
    <w:rsid w:val="00F300BE"/>
    <w:rsid w:val="00F3103D"/>
    <w:rsid w:val="00F31F0A"/>
    <w:rsid w:val="00F32AEC"/>
    <w:rsid w:val="00F32CDB"/>
    <w:rsid w:val="00F3306B"/>
    <w:rsid w:val="00F33D49"/>
    <w:rsid w:val="00F34261"/>
    <w:rsid w:val="00F34D98"/>
    <w:rsid w:val="00F34EAA"/>
    <w:rsid w:val="00F35856"/>
    <w:rsid w:val="00F366C2"/>
    <w:rsid w:val="00F37A85"/>
    <w:rsid w:val="00F424F0"/>
    <w:rsid w:val="00F42B08"/>
    <w:rsid w:val="00F42D4E"/>
    <w:rsid w:val="00F4330F"/>
    <w:rsid w:val="00F4345C"/>
    <w:rsid w:val="00F4382B"/>
    <w:rsid w:val="00F4456E"/>
    <w:rsid w:val="00F4463E"/>
    <w:rsid w:val="00F45340"/>
    <w:rsid w:val="00F458E2"/>
    <w:rsid w:val="00F5067E"/>
    <w:rsid w:val="00F50C7D"/>
    <w:rsid w:val="00F5179A"/>
    <w:rsid w:val="00F5194C"/>
    <w:rsid w:val="00F51E25"/>
    <w:rsid w:val="00F524C4"/>
    <w:rsid w:val="00F53295"/>
    <w:rsid w:val="00F538E0"/>
    <w:rsid w:val="00F54485"/>
    <w:rsid w:val="00F545E3"/>
    <w:rsid w:val="00F5486D"/>
    <w:rsid w:val="00F54F8F"/>
    <w:rsid w:val="00F55A66"/>
    <w:rsid w:val="00F561B7"/>
    <w:rsid w:val="00F56E4F"/>
    <w:rsid w:val="00F574BB"/>
    <w:rsid w:val="00F6036B"/>
    <w:rsid w:val="00F60EBC"/>
    <w:rsid w:val="00F613A9"/>
    <w:rsid w:val="00F61949"/>
    <w:rsid w:val="00F61E73"/>
    <w:rsid w:val="00F62B4C"/>
    <w:rsid w:val="00F63B8B"/>
    <w:rsid w:val="00F64280"/>
    <w:rsid w:val="00F64F6E"/>
    <w:rsid w:val="00F65435"/>
    <w:rsid w:val="00F656A7"/>
    <w:rsid w:val="00F656BD"/>
    <w:rsid w:val="00F65FC0"/>
    <w:rsid w:val="00F6656B"/>
    <w:rsid w:val="00F66669"/>
    <w:rsid w:val="00F66AEE"/>
    <w:rsid w:val="00F673AA"/>
    <w:rsid w:val="00F67BA3"/>
    <w:rsid w:val="00F704F7"/>
    <w:rsid w:val="00F709EA"/>
    <w:rsid w:val="00F715B8"/>
    <w:rsid w:val="00F7164A"/>
    <w:rsid w:val="00F71A27"/>
    <w:rsid w:val="00F730E3"/>
    <w:rsid w:val="00F73B9A"/>
    <w:rsid w:val="00F74165"/>
    <w:rsid w:val="00F74B6C"/>
    <w:rsid w:val="00F752E7"/>
    <w:rsid w:val="00F7721E"/>
    <w:rsid w:val="00F772DF"/>
    <w:rsid w:val="00F777B0"/>
    <w:rsid w:val="00F7799A"/>
    <w:rsid w:val="00F80B36"/>
    <w:rsid w:val="00F80B4A"/>
    <w:rsid w:val="00F81175"/>
    <w:rsid w:val="00F81B92"/>
    <w:rsid w:val="00F8280E"/>
    <w:rsid w:val="00F82BFF"/>
    <w:rsid w:val="00F83711"/>
    <w:rsid w:val="00F83E69"/>
    <w:rsid w:val="00F84A46"/>
    <w:rsid w:val="00F84C4A"/>
    <w:rsid w:val="00F854FA"/>
    <w:rsid w:val="00F866B4"/>
    <w:rsid w:val="00F86BA6"/>
    <w:rsid w:val="00F9099A"/>
    <w:rsid w:val="00F91AE7"/>
    <w:rsid w:val="00F92A7B"/>
    <w:rsid w:val="00F92B3B"/>
    <w:rsid w:val="00F93040"/>
    <w:rsid w:val="00F9330A"/>
    <w:rsid w:val="00F93A9A"/>
    <w:rsid w:val="00F93E90"/>
    <w:rsid w:val="00F94854"/>
    <w:rsid w:val="00F94CCC"/>
    <w:rsid w:val="00F95390"/>
    <w:rsid w:val="00F96159"/>
    <w:rsid w:val="00F9633B"/>
    <w:rsid w:val="00F964BD"/>
    <w:rsid w:val="00F96562"/>
    <w:rsid w:val="00F966F8"/>
    <w:rsid w:val="00F96BCB"/>
    <w:rsid w:val="00F96E38"/>
    <w:rsid w:val="00F97561"/>
    <w:rsid w:val="00FA0B12"/>
    <w:rsid w:val="00FA16DF"/>
    <w:rsid w:val="00FA1E25"/>
    <w:rsid w:val="00FA253A"/>
    <w:rsid w:val="00FA25F0"/>
    <w:rsid w:val="00FA37C5"/>
    <w:rsid w:val="00FA3879"/>
    <w:rsid w:val="00FA4582"/>
    <w:rsid w:val="00FA4C4A"/>
    <w:rsid w:val="00FA4C94"/>
    <w:rsid w:val="00FA56D2"/>
    <w:rsid w:val="00FA6313"/>
    <w:rsid w:val="00FA668E"/>
    <w:rsid w:val="00FA7411"/>
    <w:rsid w:val="00FA7538"/>
    <w:rsid w:val="00FA7C11"/>
    <w:rsid w:val="00FA7FDC"/>
    <w:rsid w:val="00FB0690"/>
    <w:rsid w:val="00FB145F"/>
    <w:rsid w:val="00FB1E41"/>
    <w:rsid w:val="00FB322C"/>
    <w:rsid w:val="00FB3473"/>
    <w:rsid w:val="00FB3ADB"/>
    <w:rsid w:val="00FB3FD9"/>
    <w:rsid w:val="00FB4563"/>
    <w:rsid w:val="00FB4F81"/>
    <w:rsid w:val="00FB56B7"/>
    <w:rsid w:val="00FB56E2"/>
    <w:rsid w:val="00FB6518"/>
    <w:rsid w:val="00FB6809"/>
    <w:rsid w:val="00FB692C"/>
    <w:rsid w:val="00FB6B2F"/>
    <w:rsid w:val="00FB7EAC"/>
    <w:rsid w:val="00FBCB59"/>
    <w:rsid w:val="00FC0190"/>
    <w:rsid w:val="00FC0319"/>
    <w:rsid w:val="00FC115C"/>
    <w:rsid w:val="00FC1A11"/>
    <w:rsid w:val="00FC1FEA"/>
    <w:rsid w:val="00FC2C75"/>
    <w:rsid w:val="00FC2E27"/>
    <w:rsid w:val="00FC47D3"/>
    <w:rsid w:val="00FC4D08"/>
    <w:rsid w:val="00FC56BC"/>
    <w:rsid w:val="00FC5D8F"/>
    <w:rsid w:val="00FC61BD"/>
    <w:rsid w:val="00FC6350"/>
    <w:rsid w:val="00FC688A"/>
    <w:rsid w:val="00FD07A0"/>
    <w:rsid w:val="00FD0910"/>
    <w:rsid w:val="00FD0D38"/>
    <w:rsid w:val="00FD149F"/>
    <w:rsid w:val="00FD2542"/>
    <w:rsid w:val="00FD39D0"/>
    <w:rsid w:val="00FD4878"/>
    <w:rsid w:val="00FD5F55"/>
    <w:rsid w:val="00FD68A3"/>
    <w:rsid w:val="00FD719C"/>
    <w:rsid w:val="00FD7393"/>
    <w:rsid w:val="00FE0079"/>
    <w:rsid w:val="00FE02C9"/>
    <w:rsid w:val="00FE03A2"/>
    <w:rsid w:val="00FE097F"/>
    <w:rsid w:val="00FE1533"/>
    <w:rsid w:val="00FE1F1A"/>
    <w:rsid w:val="00FE2694"/>
    <w:rsid w:val="00FE2B7D"/>
    <w:rsid w:val="00FE2E78"/>
    <w:rsid w:val="00FE3148"/>
    <w:rsid w:val="00FE3DE3"/>
    <w:rsid w:val="00FE47E0"/>
    <w:rsid w:val="00FE639F"/>
    <w:rsid w:val="00FE66FD"/>
    <w:rsid w:val="00FF0188"/>
    <w:rsid w:val="00FF03B4"/>
    <w:rsid w:val="00FF04A1"/>
    <w:rsid w:val="00FF0FF9"/>
    <w:rsid w:val="00FF10A6"/>
    <w:rsid w:val="00FF231B"/>
    <w:rsid w:val="00FF24F9"/>
    <w:rsid w:val="00FF2C97"/>
    <w:rsid w:val="00FF38A7"/>
    <w:rsid w:val="00FF468B"/>
    <w:rsid w:val="00FF493D"/>
    <w:rsid w:val="00FF4C9C"/>
    <w:rsid w:val="00FF5758"/>
    <w:rsid w:val="00FF761C"/>
    <w:rsid w:val="00FF7908"/>
    <w:rsid w:val="00FF79F2"/>
    <w:rsid w:val="00FF7BA6"/>
    <w:rsid w:val="01111F38"/>
    <w:rsid w:val="0117855A"/>
    <w:rsid w:val="0153B3BD"/>
    <w:rsid w:val="01DA9C7A"/>
    <w:rsid w:val="01DBB190"/>
    <w:rsid w:val="02A7B804"/>
    <w:rsid w:val="02EBBCB9"/>
    <w:rsid w:val="02F95856"/>
    <w:rsid w:val="03372D30"/>
    <w:rsid w:val="033F4064"/>
    <w:rsid w:val="0351435C"/>
    <w:rsid w:val="03C20104"/>
    <w:rsid w:val="04AB016B"/>
    <w:rsid w:val="04AF2BA3"/>
    <w:rsid w:val="04B6C7C3"/>
    <w:rsid w:val="051FD41E"/>
    <w:rsid w:val="05868B59"/>
    <w:rsid w:val="06391F5F"/>
    <w:rsid w:val="0680581F"/>
    <w:rsid w:val="06AB3A02"/>
    <w:rsid w:val="07374260"/>
    <w:rsid w:val="074462B0"/>
    <w:rsid w:val="085012B8"/>
    <w:rsid w:val="0862FBEE"/>
    <w:rsid w:val="0878D81F"/>
    <w:rsid w:val="08959988"/>
    <w:rsid w:val="09798FAA"/>
    <w:rsid w:val="098419D9"/>
    <w:rsid w:val="099A17DA"/>
    <w:rsid w:val="09D73E83"/>
    <w:rsid w:val="0A1D85B5"/>
    <w:rsid w:val="0A3E1386"/>
    <w:rsid w:val="0A9693CD"/>
    <w:rsid w:val="0AB2A10F"/>
    <w:rsid w:val="0AF30AC9"/>
    <w:rsid w:val="0AFC4AB5"/>
    <w:rsid w:val="0CBF8220"/>
    <w:rsid w:val="0D38742F"/>
    <w:rsid w:val="0D455A28"/>
    <w:rsid w:val="0DF59E11"/>
    <w:rsid w:val="0E0BA029"/>
    <w:rsid w:val="0E113C98"/>
    <w:rsid w:val="0E29A49C"/>
    <w:rsid w:val="0E45C86E"/>
    <w:rsid w:val="0E72C116"/>
    <w:rsid w:val="0E997E3D"/>
    <w:rsid w:val="0ECCFC50"/>
    <w:rsid w:val="0F672EC2"/>
    <w:rsid w:val="0F6A7585"/>
    <w:rsid w:val="0FE7A608"/>
    <w:rsid w:val="100175BC"/>
    <w:rsid w:val="10454A6A"/>
    <w:rsid w:val="10743350"/>
    <w:rsid w:val="107F6394"/>
    <w:rsid w:val="1139B28A"/>
    <w:rsid w:val="11859CF3"/>
    <w:rsid w:val="11D11EFF"/>
    <w:rsid w:val="11D1314E"/>
    <w:rsid w:val="125AA387"/>
    <w:rsid w:val="128F0623"/>
    <w:rsid w:val="12A0BD10"/>
    <w:rsid w:val="12C33481"/>
    <w:rsid w:val="136CEF60"/>
    <w:rsid w:val="1444AB26"/>
    <w:rsid w:val="145249FA"/>
    <w:rsid w:val="15582DCC"/>
    <w:rsid w:val="156FC3DA"/>
    <w:rsid w:val="1571D5AE"/>
    <w:rsid w:val="15809DA7"/>
    <w:rsid w:val="1595B7A1"/>
    <w:rsid w:val="15B57405"/>
    <w:rsid w:val="15C971B5"/>
    <w:rsid w:val="163EFF1A"/>
    <w:rsid w:val="1653766B"/>
    <w:rsid w:val="165ADCAC"/>
    <w:rsid w:val="17030DDC"/>
    <w:rsid w:val="17938D1C"/>
    <w:rsid w:val="17969224"/>
    <w:rsid w:val="17F4A60C"/>
    <w:rsid w:val="1851D947"/>
    <w:rsid w:val="18746799"/>
    <w:rsid w:val="18BF1EC9"/>
    <w:rsid w:val="18C19CF5"/>
    <w:rsid w:val="18E0EB86"/>
    <w:rsid w:val="18E571E6"/>
    <w:rsid w:val="18E69011"/>
    <w:rsid w:val="19397478"/>
    <w:rsid w:val="194A4AA8"/>
    <w:rsid w:val="1997E5B1"/>
    <w:rsid w:val="19C1846A"/>
    <w:rsid w:val="19DF1EBC"/>
    <w:rsid w:val="1A1B5680"/>
    <w:rsid w:val="1A5AF19B"/>
    <w:rsid w:val="1AE1A967"/>
    <w:rsid w:val="1BB78417"/>
    <w:rsid w:val="1BE59FAA"/>
    <w:rsid w:val="1C721D95"/>
    <w:rsid w:val="1C81EB6A"/>
    <w:rsid w:val="1CB13FE9"/>
    <w:rsid w:val="1D6E7D81"/>
    <w:rsid w:val="1DD37637"/>
    <w:rsid w:val="1DEDEB10"/>
    <w:rsid w:val="1E2ADDC8"/>
    <w:rsid w:val="1E2CFCAE"/>
    <w:rsid w:val="1ED6109A"/>
    <w:rsid w:val="1ED9A170"/>
    <w:rsid w:val="1FF44975"/>
    <w:rsid w:val="209AF98A"/>
    <w:rsid w:val="20B26235"/>
    <w:rsid w:val="20CB5E25"/>
    <w:rsid w:val="2112C523"/>
    <w:rsid w:val="2121E420"/>
    <w:rsid w:val="218EC8C0"/>
    <w:rsid w:val="221058C4"/>
    <w:rsid w:val="222C6C87"/>
    <w:rsid w:val="227449FA"/>
    <w:rsid w:val="22C71DF3"/>
    <w:rsid w:val="22C7C42B"/>
    <w:rsid w:val="2307FD72"/>
    <w:rsid w:val="2338D061"/>
    <w:rsid w:val="23536D1A"/>
    <w:rsid w:val="23701396"/>
    <w:rsid w:val="23C2AD7A"/>
    <w:rsid w:val="23C93525"/>
    <w:rsid w:val="23EFB38F"/>
    <w:rsid w:val="24B1CED5"/>
    <w:rsid w:val="24E38CCA"/>
    <w:rsid w:val="24F1FEA3"/>
    <w:rsid w:val="252B175D"/>
    <w:rsid w:val="25EB4AB7"/>
    <w:rsid w:val="2614B98F"/>
    <w:rsid w:val="264BCA40"/>
    <w:rsid w:val="26669D5E"/>
    <w:rsid w:val="26A36658"/>
    <w:rsid w:val="26C01F67"/>
    <w:rsid w:val="2788AD61"/>
    <w:rsid w:val="27FA6587"/>
    <w:rsid w:val="2803479B"/>
    <w:rsid w:val="285B0A65"/>
    <w:rsid w:val="285D75C5"/>
    <w:rsid w:val="29598760"/>
    <w:rsid w:val="299351FD"/>
    <w:rsid w:val="299CE825"/>
    <w:rsid w:val="29C60192"/>
    <w:rsid w:val="2A0521B3"/>
    <w:rsid w:val="2A4BA6DA"/>
    <w:rsid w:val="2A54F424"/>
    <w:rsid w:val="2A5EB51C"/>
    <w:rsid w:val="2AAB477D"/>
    <w:rsid w:val="2AD1761F"/>
    <w:rsid w:val="2AF205E6"/>
    <w:rsid w:val="2B042C59"/>
    <w:rsid w:val="2B9A8CAE"/>
    <w:rsid w:val="2BB76C29"/>
    <w:rsid w:val="2BE507B8"/>
    <w:rsid w:val="2BF5180A"/>
    <w:rsid w:val="2C246FFE"/>
    <w:rsid w:val="2C9FFCBA"/>
    <w:rsid w:val="2CB9963E"/>
    <w:rsid w:val="2CBEE747"/>
    <w:rsid w:val="2D52DB9C"/>
    <w:rsid w:val="2D68CB7F"/>
    <w:rsid w:val="2DF1EF03"/>
    <w:rsid w:val="2E049006"/>
    <w:rsid w:val="2E0E5B86"/>
    <w:rsid w:val="2E388287"/>
    <w:rsid w:val="2E6793B0"/>
    <w:rsid w:val="2E80E1D2"/>
    <w:rsid w:val="2F0421BB"/>
    <w:rsid w:val="2F649129"/>
    <w:rsid w:val="2F8C7B07"/>
    <w:rsid w:val="2F977252"/>
    <w:rsid w:val="2FB60875"/>
    <w:rsid w:val="305C163B"/>
    <w:rsid w:val="31AC2128"/>
    <w:rsid w:val="31D80326"/>
    <w:rsid w:val="32664699"/>
    <w:rsid w:val="328290CC"/>
    <w:rsid w:val="3284EE24"/>
    <w:rsid w:val="329C65DB"/>
    <w:rsid w:val="32C5969D"/>
    <w:rsid w:val="337E30B7"/>
    <w:rsid w:val="34A28DF4"/>
    <w:rsid w:val="34F1E169"/>
    <w:rsid w:val="35497AA1"/>
    <w:rsid w:val="35758306"/>
    <w:rsid w:val="35CC893F"/>
    <w:rsid w:val="3605C3C0"/>
    <w:rsid w:val="361CAEC3"/>
    <w:rsid w:val="362295DA"/>
    <w:rsid w:val="3651115E"/>
    <w:rsid w:val="36971EE0"/>
    <w:rsid w:val="36993056"/>
    <w:rsid w:val="36B6F57C"/>
    <w:rsid w:val="371D57B9"/>
    <w:rsid w:val="371E00B5"/>
    <w:rsid w:val="379FB280"/>
    <w:rsid w:val="37A1D282"/>
    <w:rsid w:val="3954CD3A"/>
    <w:rsid w:val="3AA29275"/>
    <w:rsid w:val="3AAFEFAB"/>
    <w:rsid w:val="3AB032F7"/>
    <w:rsid w:val="3AB32E5E"/>
    <w:rsid w:val="3AE03CDF"/>
    <w:rsid w:val="3AE6048E"/>
    <w:rsid w:val="3B173720"/>
    <w:rsid w:val="3B823707"/>
    <w:rsid w:val="3BFCFA96"/>
    <w:rsid w:val="3C11CEB9"/>
    <w:rsid w:val="3C244888"/>
    <w:rsid w:val="3C6E9A63"/>
    <w:rsid w:val="3CABF0BB"/>
    <w:rsid w:val="3DBDD8FB"/>
    <w:rsid w:val="3DFEC42B"/>
    <w:rsid w:val="3E18093D"/>
    <w:rsid w:val="3EA4FC89"/>
    <w:rsid w:val="3F187E58"/>
    <w:rsid w:val="3F4BCA77"/>
    <w:rsid w:val="3F4D6463"/>
    <w:rsid w:val="3F8BD310"/>
    <w:rsid w:val="3F946883"/>
    <w:rsid w:val="3FCC859E"/>
    <w:rsid w:val="3FDC40A3"/>
    <w:rsid w:val="400D92B2"/>
    <w:rsid w:val="40729907"/>
    <w:rsid w:val="40AC5397"/>
    <w:rsid w:val="4150C135"/>
    <w:rsid w:val="41713E13"/>
    <w:rsid w:val="41CEA4C4"/>
    <w:rsid w:val="42385825"/>
    <w:rsid w:val="423F59EA"/>
    <w:rsid w:val="4274C060"/>
    <w:rsid w:val="42980F48"/>
    <w:rsid w:val="42BBF916"/>
    <w:rsid w:val="42BC3B86"/>
    <w:rsid w:val="42D50AB3"/>
    <w:rsid w:val="4301DC5F"/>
    <w:rsid w:val="43120427"/>
    <w:rsid w:val="43249C58"/>
    <w:rsid w:val="435E4D3C"/>
    <w:rsid w:val="44785C8E"/>
    <w:rsid w:val="447FF3ED"/>
    <w:rsid w:val="44DFA6C4"/>
    <w:rsid w:val="44E42F92"/>
    <w:rsid w:val="454D4B15"/>
    <w:rsid w:val="457409E6"/>
    <w:rsid w:val="462628EE"/>
    <w:rsid w:val="46322D54"/>
    <w:rsid w:val="46A01EB5"/>
    <w:rsid w:val="46AC80E1"/>
    <w:rsid w:val="46D44522"/>
    <w:rsid w:val="4728B313"/>
    <w:rsid w:val="474EA618"/>
    <w:rsid w:val="4759702B"/>
    <w:rsid w:val="47633F9D"/>
    <w:rsid w:val="4769603F"/>
    <w:rsid w:val="476CCBC5"/>
    <w:rsid w:val="47AD6D26"/>
    <w:rsid w:val="47B17559"/>
    <w:rsid w:val="480F4947"/>
    <w:rsid w:val="4836DBEA"/>
    <w:rsid w:val="48744EDA"/>
    <w:rsid w:val="487ECBAB"/>
    <w:rsid w:val="489C30AC"/>
    <w:rsid w:val="48B51522"/>
    <w:rsid w:val="490D7891"/>
    <w:rsid w:val="49256A64"/>
    <w:rsid w:val="494C2BA0"/>
    <w:rsid w:val="494D825C"/>
    <w:rsid w:val="49594B1C"/>
    <w:rsid w:val="4959B367"/>
    <w:rsid w:val="495CD67E"/>
    <w:rsid w:val="49D3F1A1"/>
    <w:rsid w:val="4A32F727"/>
    <w:rsid w:val="4A3880CE"/>
    <w:rsid w:val="4A7A5442"/>
    <w:rsid w:val="4AADB2AD"/>
    <w:rsid w:val="4AE21D7D"/>
    <w:rsid w:val="4B478B31"/>
    <w:rsid w:val="4B5AE6AF"/>
    <w:rsid w:val="4B6BBE64"/>
    <w:rsid w:val="4B782530"/>
    <w:rsid w:val="4BB67DBC"/>
    <w:rsid w:val="4BBDCF3B"/>
    <w:rsid w:val="4BC6AA79"/>
    <w:rsid w:val="4C2EED90"/>
    <w:rsid w:val="4C3D90BA"/>
    <w:rsid w:val="4CEE34F3"/>
    <w:rsid w:val="4D3A2A1A"/>
    <w:rsid w:val="4D6018FF"/>
    <w:rsid w:val="4D65030D"/>
    <w:rsid w:val="4D8B0C89"/>
    <w:rsid w:val="4DB8D393"/>
    <w:rsid w:val="4DBCFBA9"/>
    <w:rsid w:val="4DBE6A14"/>
    <w:rsid w:val="4DDCBBBA"/>
    <w:rsid w:val="4E01A3C1"/>
    <w:rsid w:val="4E3169DA"/>
    <w:rsid w:val="4E6292DC"/>
    <w:rsid w:val="4F1F4C8A"/>
    <w:rsid w:val="4F7EDCBF"/>
    <w:rsid w:val="4FB3D4A3"/>
    <w:rsid w:val="4FD363AE"/>
    <w:rsid w:val="4FE04D74"/>
    <w:rsid w:val="4FE51900"/>
    <w:rsid w:val="505E4D8D"/>
    <w:rsid w:val="50CA0B3F"/>
    <w:rsid w:val="51155984"/>
    <w:rsid w:val="51202C66"/>
    <w:rsid w:val="5131D3EF"/>
    <w:rsid w:val="51558725"/>
    <w:rsid w:val="51CDF6BC"/>
    <w:rsid w:val="51E7D8F4"/>
    <w:rsid w:val="5223A9D2"/>
    <w:rsid w:val="525A8C3D"/>
    <w:rsid w:val="52819409"/>
    <w:rsid w:val="52E3E5BE"/>
    <w:rsid w:val="52EC6443"/>
    <w:rsid w:val="53A211FE"/>
    <w:rsid w:val="53A80088"/>
    <w:rsid w:val="542FCA62"/>
    <w:rsid w:val="54AC1F58"/>
    <w:rsid w:val="551328BC"/>
    <w:rsid w:val="5550B7D3"/>
    <w:rsid w:val="5581B0CD"/>
    <w:rsid w:val="561B7B60"/>
    <w:rsid w:val="56378062"/>
    <w:rsid w:val="568134E0"/>
    <w:rsid w:val="569222E1"/>
    <w:rsid w:val="56936259"/>
    <w:rsid w:val="56D6DA4F"/>
    <w:rsid w:val="56FF0AA8"/>
    <w:rsid w:val="579E9F38"/>
    <w:rsid w:val="57A02092"/>
    <w:rsid w:val="586891D3"/>
    <w:rsid w:val="58F88E19"/>
    <w:rsid w:val="593B0B54"/>
    <w:rsid w:val="59A6454B"/>
    <w:rsid w:val="59C77632"/>
    <w:rsid w:val="59E24CE6"/>
    <w:rsid w:val="5A15B386"/>
    <w:rsid w:val="5A6AE634"/>
    <w:rsid w:val="5A7E4970"/>
    <w:rsid w:val="5B86C086"/>
    <w:rsid w:val="5B8E8EFD"/>
    <w:rsid w:val="5B9D607B"/>
    <w:rsid w:val="5BA75416"/>
    <w:rsid w:val="5BDA2452"/>
    <w:rsid w:val="5BE319B8"/>
    <w:rsid w:val="5BFD81E9"/>
    <w:rsid w:val="5C141A61"/>
    <w:rsid w:val="5C25B0F2"/>
    <w:rsid w:val="5C307092"/>
    <w:rsid w:val="5C45D8DA"/>
    <w:rsid w:val="5CA27DDA"/>
    <w:rsid w:val="5CC26DD3"/>
    <w:rsid w:val="5D20ED15"/>
    <w:rsid w:val="5D21EC55"/>
    <w:rsid w:val="5D4B2156"/>
    <w:rsid w:val="5D987500"/>
    <w:rsid w:val="5DD30F28"/>
    <w:rsid w:val="5EC076B7"/>
    <w:rsid w:val="5EDAF1BB"/>
    <w:rsid w:val="5F33E9DD"/>
    <w:rsid w:val="5F52AF09"/>
    <w:rsid w:val="60702664"/>
    <w:rsid w:val="60885A13"/>
    <w:rsid w:val="61354441"/>
    <w:rsid w:val="615B787F"/>
    <w:rsid w:val="618AA881"/>
    <w:rsid w:val="61D548D5"/>
    <w:rsid w:val="61FBC8FB"/>
    <w:rsid w:val="6215138B"/>
    <w:rsid w:val="6253C2C6"/>
    <w:rsid w:val="625BFB1C"/>
    <w:rsid w:val="6343757B"/>
    <w:rsid w:val="637B0BAE"/>
    <w:rsid w:val="63A8B237"/>
    <w:rsid w:val="63E9602B"/>
    <w:rsid w:val="64186A33"/>
    <w:rsid w:val="6427353D"/>
    <w:rsid w:val="6477987A"/>
    <w:rsid w:val="647A48FF"/>
    <w:rsid w:val="649E0C51"/>
    <w:rsid w:val="64A40023"/>
    <w:rsid w:val="64BD3D9C"/>
    <w:rsid w:val="650B5D2B"/>
    <w:rsid w:val="652CDCFE"/>
    <w:rsid w:val="654BD15A"/>
    <w:rsid w:val="659C4165"/>
    <w:rsid w:val="663B3E6F"/>
    <w:rsid w:val="66757234"/>
    <w:rsid w:val="66E3E554"/>
    <w:rsid w:val="670F3591"/>
    <w:rsid w:val="6750F704"/>
    <w:rsid w:val="6780E68B"/>
    <w:rsid w:val="67D13F9B"/>
    <w:rsid w:val="67F1AC1B"/>
    <w:rsid w:val="6860C45A"/>
    <w:rsid w:val="6888ADAD"/>
    <w:rsid w:val="689F3BBA"/>
    <w:rsid w:val="68B2F074"/>
    <w:rsid w:val="695EB822"/>
    <w:rsid w:val="69CD50B5"/>
    <w:rsid w:val="69F56670"/>
    <w:rsid w:val="6A20E0EC"/>
    <w:rsid w:val="6A69290E"/>
    <w:rsid w:val="6AB8C2F3"/>
    <w:rsid w:val="6B4007AD"/>
    <w:rsid w:val="6B739E4E"/>
    <w:rsid w:val="6BEAB9B1"/>
    <w:rsid w:val="6BFBDA5B"/>
    <w:rsid w:val="6C7705E4"/>
    <w:rsid w:val="6CB24604"/>
    <w:rsid w:val="6CC2DA3E"/>
    <w:rsid w:val="6DEFBED4"/>
    <w:rsid w:val="6DFC5D44"/>
    <w:rsid w:val="6E3D439F"/>
    <w:rsid w:val="6E4F5B31"/>
    <w:rsid w:val="6EB6149D"/>
    <w:rsid w:val="6F23DB44"/>
    <w:rsid w:val="6F9D83E8"/>
    <w:rsid w:val="6FC97A4F"/>
    <w:rsid w:val="6FDEA975"/>
    <w:rsid w:val="70010A7D"/>
    <w:rsid w:val="7005F78F"/>
    <w:rsid w:val="7046AF4B"/>
    <w:rsid w:val="706071C3"/>
    <w:rsid w:val="70748511"/>
    <w:rsid w:val="7096594A"/>
    <w:rsid w:val="70C06695"/>
    <w:rsid w:val="71652623"/>
    <w:rsid w:val="7196AB4E"/>
    <w:rsid w:val="71A7FA3B"/>
    <w:rsid w:val="71F3DA77"/>
    <w:rsid w:val="727B8423"/>
    <w:rsid w:val="72F837B6"/>
    <w:rsid w:val="733F33B3"/>
    <w:rsid w:val="736E63C3"/>
    <w:rsid w:val="73FE3FC6"/>
    <w:rsid w:val="74006170"/>
    <w:rsid w:val="747D178B"/>
    <w:rsid w:val="748C400A"/>
    <w:rsid w:val="749F94E5"/>
    <w:rsid w:val="74F4F852"/>
    <w:rsid w:val="751B10D3"/>
    <w:rsid w:val="758650B7"/>
    <w:rsid w:val="7592B360"/>
    <w:rsid w:val="75A4AB6C"/>
    <w:rsid w:val="75D76B3A"/>
    <w:rsid w:val="75EF7A3D"/>
    <w:rsid w:val="761724BE"/>
    <w:rsid w:val="76513D6C"/>
    <w:rsid w:val="76C0C079"/>
    <w:rsid w:val="76C1CBC3"/>
    <w:rsid w:val="77255A77"/>
    <w:rsid w:val="78DD62B4"/>
    <w:rsid w:val="78F3A861"/>
    <w:rsid w:val="7902F55D"/>
    <w:rsid w:val="7950CDFF"/>
    <w:rsid w:val="79DF38DE"/>
    <w:rsid w:val="7A32CBFA"/>
    <w:rsid w:val="7A541ED0"/>
    <w:rsid w:val="7B3022C9"/>
    <w:rsid w:val="7B36EF3F"/>
    <w:rsid w:val="7B7A7665"/>
    <w:rsid w:val="7B7B093F"/>
    <w:rsid w:val="7BA13040"/>
    <w:rsid w:val="7BB589C5"/>
    <w:rsid w:val="7BCCE4E7"/>
    <w:rsid w:val="7BE1C97F"/>
    <w:rsid w:val="7C37F5B6"/>
    <w:rsid w:val="7C38AF8C"/>
    <w:rsid w:val="7C75B3E7"/>
    <w:rsid w:val="7C90F5DD"/>
    <w:rsid w:val="7CEAB206"/>
    <w:rsid w:val="7D64B515"/>
    <w:rsid w:val="7D670797"/>
    <w:rsid w:val="7DA8F92A"/>
    <w:rsid w:val="7DBE47F9"/>
    <w:rsid w:val="7DCE48D3"/>
    <w:rsid w:val="7DDED802"/>
    <w:rsid w:val="7E1863A4"/>
    <w:rsid w:val="7E7D2EF7"/>
    <w:rsid w:val="7E921455"/>
    <w:rsid w:val="7EC6483B"/>
    <w:rsid w:val="7ECD0230"/>
    <w:rsid w:val="7ED9B787"/>
    <w:rsid w:val="7F50B5FE"/>
    <w:rsid w:val="7F6E20FE"/>
    <w:rsid w:val="7F96137E"/>
    <w:rsid w:val="7FB997FD"/>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196AE"/>
  <w15:chartTrackingRefBased/>
  <w15:docId w15:val="{25D8B22E-45F4-45DF-9EAC-5388385C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64A"/>
    <w:pPr>
      <w:spacing w:before="120" w:after="120"/>
    </w:pPr>
    <w:rPr>
      <w:rFonts w:ascii="Source Sans Pro" w:hAnsi="Source Sans Pro"/>
    </w:rPr>
  </w:style>
  <w:style w:type="paragraph" w:styleId="Heading1">
    <w:name w:val="heading 1"/>
    <w:basedOn w:val="Normal"/>
    <w:next w:val="Normal"/>
    <w:link w:val="Heading1Char"/>
    <w:uiPriority w:val="9"/>
    <w:qFormat/>
    <w:rsid w:val="002656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564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Title">
    <w:name w:val="Title"/>
    <w:basedOn w:val="Normal"/>
    <w:next w:val="Normal"/>
    <w:link w:val="TitleChar"/>
    <w:uiPriority w:val="10"/>
    <w:qFormat/>
    <w:rsid w:val="002656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64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65649"/>
    <w:rPr>
      <w:rFonts w:asciiTheme="majorHAnsi" w:eastAsiaTheme="majorEastAsia" w:hAnsiTheme="majorHAnsi" w:cstheme="majorBidi"/>
      <w:color w:val="2F5496" w:themeColor="accent1" w:themeShade="BF"/>
      <w:sz w:val="32"/>
      <w:szCs w:val="32"/>
    </w:rPr>
  </w:style>
  <w:style w:type="paragraph" w:customStyle="1" w:styleId="ARHeading1">
    <w:name w:val="AR Heading 1"/>
    <w:basedOn w:val="Heading1"/>
    <w:link w:val="ARHeading1Char"/>
    <w:qFormat/>
    <w:rsid w:val="00D6364A"/>
    <w:pPr>
      <w:spacing w:before="120" w:after="120"/>
    </w:pPr>
    <w:rPr>
      <w:rFonts w:ascii="Source Sans Pro Light" w:hAnsi="Source Sans Pro Light"/>
      <w:color w:val="auto"/>
    </w:rPr>
  </w:style>
  <w:style w:type="character" w:customStyle="1" w:styleId="ARHeading1Char">
    <w:name w:val="AR Heading 1 Char"/>
    <w:basedOn w:val="Heading1Char"/>
    <w:link w:val="ARHeading1"/>
    <w:rsid w:val="00D6364A"/>
    <w:rPr>
      <w:rFonts w:ascii="Source Sans Pro Light" w:eastAsiaTheme="majorEastAsia" w:hAnsi="Source Sans Pro Light" w:cstheme="majorBidi"/>
      <w:color w:val="2F5496" w:themeColor="accent1" w:themeShade="BF"/>
      <w:sz w:val="32"/>
      <w:szCs w:val="32"/>
    </w:rPr>
  </w:style>
  <w:style w:type="paragraph" w:customStyle="1" w:styleId="ARMainTitle">
    <w:name w:val="AR Main Title"/>
    <w:basedOn w:val="ARHeading1"/>
    <w:link w:val="ARMainTitleChar"/>
    <w:qFormat/>
    <w:rsid w:val="00B553B3"/>
    <w:pPr>
      <w:spacing w:before="0" w:line="240" w:lineRule="auto"/>
    </w:pPr>
    <w:rPr>
      <w:rFonts w:ascii="Source Sans Pro" w:hAnsi="Source Sans Pro"/>
      <w:sz w:val="40"/>
    </w:rPr>
  </w:style>
  <w:style w:type="character" w:customStyle="1" w:styleId="ARMainTitleChar">
    <w:name w:val="AR Main Title Char"/>
    <w:basedOn w:val="ARHeading1Char"/>
    <w:link w:val="ARMainTitle"/>
    <w:rsid w:val="00B553B3"/>
    <w:rPr>
      <w:rFonts w:ascii="Source Sans Pro" w:eastAsiaTheme="majorEastAsia" w:hAnsi="Source Sans Pro" w:cstheme="majorBidi"/>
      <w:color w:val="2F5496" w:themeColor="accent1" w:themeShade="BF"/>
      <w:sz w:val="40"/>
      <w:szCs w:val="32"/>
    </w:rPr>
  </w:style>
  <w:style w:type="paragraph" w:customStyle="1" w:styleId="ARSub-heading1">
    <w:name w:val="AR Sub-heading 1"/>
    <w:basedOn w:val="ARHeading1"/>
    <w:link w:val="ARSub-heading1Char"/>
    <w:qFormat/>
    <w:rsid w:val="00B562E7"/>
    <w:pPr>
      <w:spacing w:line="240" w:lineRule="auto"/>
    </w:pPr>
    <w:rPr>
      <w:rFonts w:ascii="Source Sans Pro SemiBold" w:hAnsi="Source Sans Pro SemiBold"/>
      <w:sz w:val="24"/>
    </w:rPr>
  </w:style>
  <w:style w:type="character" w:customStyle="1" w:styleId="ARSub-heading1Char">
    <w:name w:val="AR Sub-heading 1 Char"/>
    <w:basedOn w:val="ARHeading1Char"/>
    <w:link w:val="ARSub-heading1"/>
    <w:rsid w:val="00B562E7"/>
    <w:rPr>
      <w:rFonts w:ascii="Source Sans Pro SemiBold" w:eastAsiaTheme="majorEastAsia" w:hAnsi="Source Sans Pro SemiBold" w:cstheme="majorBidi"/>
      <w:color w:val="2F5496" w:themeColor="accent1" w:themeShade="BF"/>
      <w:sz w:val="24"/>
      <w:szCs w:val="32"/>
    </w:rPr>
  </w:style>
  <w:style w:type="paragraph" w:customStyle="1" w:styleId="ARSub-heading2">
    <w:name w:val="AR Sub-heading 2"/>
    <w:basedOn w:val="ARSub-heading1"/>
    <w:link w:val="ARSub-heading2Char"/>
    <w:qFormat/>
    <w:rsid w:val="00B562E7"/>
    <w:rPr>
      <w:sz w:val="22"/>
    </w:rPr>
  </w:style>
  <w:style w:type="character" w:customStyle="1" w:styleId="ARSub-heading2Char">
    <w:name w:val="AR Sub-heading 2 Char"/>
    <w:basedOn w:val="ARSub-heading1Char"/>
    <w:link w:val="ARSub-heading2"/>
    <w:rsid w:val="00B562E7"/>
    <w:rPr>
      <w:rFonts w:ascii="Source Sans Pro SemiBold" w:eastAsiaTheme="majorEastAsia" w:hAnsi="Source Sans Pro SemiBold" w:cstheme="majorBidi"/>
      <w:color w:val="2F5496" w:themeColor="accent1" w:themeShade="BF"/>
      <w:sz w:val="22"/>
      <w:szCs w:val="32"/>
    </w:rPr>
  </w:style>
  <w:style w:type="paragraph" w:customStyle="1" w:styleId="ARBodytext">
    <w:name w:val="AR Body text"/>
    <w:basedOn w:val="ARSub-heading2"/>
    <w:link w:val="ARBodytextChar"/>
    <w:rsid w:val="002E4A02"/>
    <w:rPr>
      <w:rFonts w:ascii="Source Sans Pro" w:hAnsi="Source Sans Pro"/>
    </w:rPr>
  </w:style>
  <w:style w:type="character" w:customStyle="1" w:styleId="ARBodytextChar">
    <w:name w:val="AR Body text Char"/>
    <w:basedOn w:val="ARSub-heading2Char"/>
    <w:link w:val="ARBodytext"/>
    <w:rsid w:val="002E4A02"/>
    <w:rPr>
      <w:rFonts w:ascii="Source Sans Pro" w:eastAsiaTheme="majorEastAsia" w:hAnsi="Source Sans Pro" w:cstheme="majorBidi"/>
      <w:color w:val="2F5496" w:themeColor="accent1" w:themeShade="BF"/>
      <w:sz w:val="24"/>
      <w:szCs w:val="32"/>
    </w:rPr>
  </w:style>
  <w:style w:type="table" w:styleId="TableGrid">
    <w:name w:val="Table Grid"/>
    <w:basedOn w:val="TableNormal"/>
    <w:uiPriority w:val="39"/>
    <w:rsid w:val="00EF6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330A"/>
    <w:rPr>
      <w:color w:val="0563C1" w:themeColor="hyperlink"/>
      <w:u w:val="single"/>
    </w:rPr>
  </w:style>
  <w:style w:type="character" w:styleId="UnresolvedMention">
    <w:name w:val="Unresolved Mention"/>
    <w:basedOn w:val="DefaultParagraphFont"/>
    <w:uiPriority w:val="99"/>
    <w:semiHidden/>
    <w:unhideWhenUsed/>
    <w:rsid w:val="00F9330A"/>
    <w:rPr>
      <w:color w:val="605E5C"/>
      <w:shd w:val="clear" w:color="auto" w:fill="E1DFDD"/>
    </w:rPr>
  </w:style>
  <w:style w:type="character" w:styleId="CommentReference">
    <w:name w:val="annotation reference"/>
    <w:basedOn w:val="DefaultParagraphFont"/>
    <w:uiPriority w:val="99"/>
    <w:semiHidden/>
    <w:unhideWhenUsed/>
    <w:rsid w:val="00945DD5"/>
    <w:rPr>
      <w:sz w:val="16"/>
      <w:szCs w:val="16"/>
    </w:rPr>
  </w:style>
  <w:style w:type="paragraph" w:styleId="CommentText">
    <w:name w:val="annotation text"/>
    <w:basedOn w:val="Normal"/>
    <w:link w:val="CommentTextChar"/>
    <w:uiPriority w:val="99"/>
    <w:unhideWhenUsed/>
    <w:rsid w:val="00945DD5"/>
    <w:pPr>
      <w:spacing w:line="240" w:lineRule="auto"/>
    </w:pPr>
  </w:style>
  <w:style w:type="character" w:customStyle="1" w:styleId="CommentTextChar">
    <w:name w:val="Comment Text Char"/>
    <w:basedOn w:val="DefaultParagraphFont"/>
    <w:link w:val="CommentText"/>
    <w:uiPriority w:val="99"/>
    <w:rsid w:val="00945DD5"/>
    <w:rPr>
      <w:rFonts w:ascii="Source Sans Pro" w:hAnsi="Source Sans Pro"/>
    </w:rPr>
  </w:style>
  <w:style w:type="paragraph" w:styleId="CommentSubject">
    <w:name w:val="annotation subject"/>
    <w:basedOn w:val="CommentText"/>
    <w:next w:val="CommentText"/>
    <w:link w:val="CommentSubjectChar"/>
    <w:uiPriority w:val="99"/>
    <w:semiHidden/>
    <w:unhideWhenUsed/>
    <w:rsid w:val="00945DD5"/>
    <w:rPr>
      <w:b/>
      <w:bCs/>
    </w:rPr>
  </w:style>
  <w:style w:type="character" w:customStyle="1" w:styleId="CommentSubjectChar">
    <w:name w:val="Comment Subject Char"/>
    <w:basedOn w:val="CommentTextChar"/>
    <w:link w:val="CommentSubject"/>
    <w:uiPriority w:val="99"/>
    <w:semiHidden/>
    <w:rsid w:val="00945DD5"/>
    <w:rPr>
      <w:rFonts w:ascii="Source Sans Pro" w:hAnsi="Source Sans Pro"/>
      <w:b/>
      <w:bCs/>
    </w:rPr>
  </w:style>
  <w:style w:type="paragraph" w:styleId="ListParagraph">
    <w:name w:val="List Paragraph"/>
    <w:basedOn w:val="Normal"/>
    <w:link w:val="ListParagraphChar"/>
    <w:uiPriority w:val="34"/>
    <w:qFormat/>
    <w:rsid w:val="00945DD5"/>
    <w:pPr>
      <w:ind w:left="720"/>
      <w:contextualSpacing/>
    </w:pPr>
  </w:style>
  <w:style w:type="paragraph" w:customStyle="1" w:styleId="ARDotpoints">
    <w:name w:val="AR Dot points"/>
    <w:basedOn w:val="ListParagraph"/>
    <w:link w:val="ARDotpointsChar"/>
    <w:qFormat/>
    <w:rsid w:val="001867E4"/>
    <w:pPr>
      <w:numPr>
        <w:numId w:val="1"/>
      </w:numPr>
      <w:contextualSpacing w:val="0"/>
    </w:pPr>
  </w:style>
  <w:style w:type="character" w:customStyle="1" w:styleId="ListParagraphChar">
    <w:name w:val="List Paragraph Char"/>
    <w:basedOn w:val="DefaultParagraphFont"/>
    <w:link w:val="ListParagraph"/>
    <w:uiPriority w:val="34"/>
    <w:rsid w:val="00EF2968"/>
    <w:rPr>
      <w:rFonts w:ascii="Source Sans Pro" w:hAnsi="Source Sans Pro"/>
    </w:rPr>
  </w:style>
  <w:style w:type="character" w:customStyle="1" w:styleId="ARDotpointsChar">
    <w:name w:val="AR Dot points Char"/>
    <w:basedOn w:val="ListParagraphChar"/>
    <w:link w:val="ARDotpoints"/>
    <w:rsid w:val="001867E4"/>
    <w:rPr>
      <w:rFonts w:ascii="Source Sans Pro" w:hAnsi="Source Sans Pro"/>
    </w:rPr>
  </w:style>
  <w:style w:type="paragraph" w:customStyle="1" w:styleId="paragraph">
    <w:name w:val="paragraph"/>
    <w:basedOn w:val="Normal"/>
    <w:rsid w:val="007B5ED0"/>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7B5ED0"/>
  </w:style>
  <w:style w:type="character" w:customStyle="1" w:styleId="eop">
    <w:name w:val="eop"/>
    <w:basedOn w:val="DefaultParagraphFont"/>
    <w:rsid w:val="007B5ED0"/>
  </w:style>
  <w:style w:type="character" w:customStyle="1" w:styleId="scxw97280604">
    <w:name w:val="scxw97280604"/>
    <w:basedOn w:val="DefaultParagraphFont"/>
    <w:rsid w:val="003642E9"/>
  </w:style>
  <w:style w:type="character" w:customStyle="1" w:styleId="scxw103967055">
    <w:name w:val="scxw103967055"/>
    <w:basedOn w:val="DefaultParagraphFont"/>
    <w:rsid w:val="000B7D9A"/>
  </w:style>
  <w:style w:type="character" w:styleId="Mention">
    <w:name w:val="Mention"/>
    <w:basedOn w:val="DefaultParagraphFont"/>
    <w:uiPriority w:val="99"/>
    <w:unhideWhenUsed/>
    <w:rsid w:val="00FE66FD"/>
    <w:rPr>
      <w:color w:val="2B579A"/>
      <w:shd w:val="clear" w:color="auto" w:fill="E1DFDD"/>
    </w:rPr>
  </w:style>
  <w:style w:type="paragraph" w:styleId="Revision">
    <w:name w:val="Revision"/>
    <w:hidden/>
    <w:uiPriority w:val="99"/>
    <w:semiHidden/>
    <w:rsid w:val="002F2C54"/>
    <w:pPr>
      <w:spacing w:after="0" w:line="240" w:lineRule="auto"/>
    </w:pPr>
    <w:rPr>
      <w:rFonts w:ascii="Source Sans Pro" w:hAnsi="Source Sans Pro"/>
    </w:rPr>
  </w:style>
  <w:style w:type="paragraph" w:customStyle="1" w:styleId="pf0">
    <w:name w:val="pf0"/>
    <w:basedOn w:val="Normal"/>
    <w:rsid w:val="002F2C54"/>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f01">
    <w:name w:val="cf01"/>
    <w:basedOn w:val="DefaultParagraphFont"/>
    <w:rsid w:val="002F2C54"/>
    <w:rPr>
      <w:rFonts w:ascii="Segoe UI" w:hAnsi="Segoe UI" w:cs="Segoe UI" w:hint="default"/>
      <w:sz w:val="18"/>
      <w:szCs w:val="18"/>
    </w:rPr>
  </w:style>
  <w:style w:type="character" w:customStyle="1" w:styleId="cf11">
    <w:name w:val="cf11"/>
    <w:basedOn w:val="DefaultParagraphFont"/>
    <w:rsid w:val="002F2C54"/>
    <w:rPr>
      <w:rFonts w:ascii="Segoe UI" w:hAnsi="Segoe UI" w:cs="Segoe UI" w:hint="default"/>
      <w:b/>
      <w:bCs/>
      <w:sz w:val="18"/>
      <w:szCs w:val="18"/>
    </w:rPr>
  </w:style>
  <w:style w:type="character" w:customStyle="1" w:styleId="wacimagecontainer">
    <w:name w:val="wacimagecontainer"/>
    <w:basedOn w:val="DefaultParagraphFont"/>
    <w:rsid w:val="007470C7"/>
  </w:style>
  <w:style w:type="character" w:customStyle="1" w:styleId="scxw121469885">
    <w:name w:val="scxw121469885"/>
    <w:basedOn w:val="DefaultParagraphFont"/>
    <w:rsid w:val="002F6667"/>
  </w:style>
  <w:style w:type="character" w:customStyle="1" w:styleId="ui-provider">
    <w:name w:val="ui-provider"/>
    <w:basedOn w:val="DefaultParagraphFont"/>
    <w:rsid w:val="00853052"/>
  </w:style>
  <w:style w:type="paragraph" w:styleId="Header">
    <w:name w:val="header"/>
    <w:basedOn w:val="Normal"/>
    <w:link w:val="HeaderChar"/>
    <w:uiPriority w:val="99"/>
    <w:unhideWhenUsed/>
    <w:rsid w:val="0023153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31530"/>
    <w:rPr>
      <w:rFonts w:ascii="Source Sans Pro" w:hAnsi="Source Sans Pro"/>
    </w:rPr>
  </w:style>
  <w:style w:type="paragraph" w:styleId="Footer">
    <w:name w:val="footer"/>
    <w:basedOn w:val="Normal"/>
    <w:link w:val="FooterChar"/>
    <w:uiPriority w:val="99"/>
    <w:unhideWhenUsed/>
    <w:rsid w:val="0023153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31530"/>
    <w:rPr>
      <w:rFonts w:ascii="Source Sans Pro" w:hAnsi="Source Sans Pro"/>
    </w:rPr>
  </w:style>
  <w:style w:type="paragraph" w:styleId="TOCHeading">
    <w:name w:val="TOC Heading"/>
    <w:basedOn w:val="Heading1"/>
    <w:next w:val="Normal"/>
    <w:uiPriority w:val="39"/>
    <w:unhideWhenUsed/>
    <w:qFormat/>
    <w:rsid w:val="000276A7"/>
    <w:pPr>
      <w:outlineLvl w:val="9"/>
    </w:pPr>
    <w:rPr>
      <w:kern w:val="0"/>
      <w:lang w:val="en-US"/>
      <w14:ligatures w14:val="none"/>
    </w:rPr>
  </w:style>
  <w:style w:type="paragraph" w:styleId="TOC1">
    <w:name w:val="toc 1"/>
    <w:basedOn w:val="Normal"/>
    <w:next w:val="Normal"/>
    <w:autoRedefine/>
    <w:uiPriority w:val="39"/>
    <w:unhideWhenUsed/>
    <w:rsid w:val="000276A7"/>
    <w:pPr>
      <w:spacing w:after="100"/>
    </w:pPr>
  </w:style>
  <w:style w:type="paragraph" w:styleId="TOC2">
    <w:name w:val="toc 2"/>
    <w:basedOn w:val="Normal"/>
    <w:next w:val="Normal"/>
    <w:autoRedefine/>
    <w:uiPriority w:val="39"/>
    <w:unhideWhenUsed/>
    <w:rsid w:val="000276A7"/>
    <w:pPr>
      <w:spacing w:before="0" w:after="100" w:line="278" w:lineRule="auto"/>
      <w:ind w:left="240"/>
    </w:pPr>
    <w:rPr>
      <w:rFonts w:asciiTheme="minorHAnsi" w:eastAsiaTheme="minorEastAsia" w:hAnsiTheme="minorHAnsi"/>
      <w:sz w:val="24"/>
      <w:szCs w:val="24"/>
      <w:lang w:eastAsia="en-AU"/>
    </w:rPr>
  </w:style>
  <w:style w:type="paragraph" w:styleId="TOC3">
    <w:name w:val="toc 3"/>
    <w:basedOn w:val="Normal"/>
    <w:next w:val="Normal"/>
    <w:autoRedefine/>
    <w:uiPriority w:val="39"/>
    <w:unhideWhenUsed/>
    <w:rsid w:val="000276A7"/>
    <w:pPr>
      <w:spacing w:before="0" w:after="100" w:line="278" w:lineRule="auto"/>
      <w:ind w:left="480"/>
    </w:pPr>
    <w:rPr>
      <w:rFonts w:asciiTheme="minorHAnsi" w:eastAsiaTheme="minorEastAsia" w:hAnsiTheme="minorHAnsi"/>
      <w:sz w:val="24"/>
      <w:szCs w:val="24"/>
      <w:lang w:eastAsia="en-AU"/>
    </w:rPr>
  </w:style>
  <w:style w:type="paragraph" w:styleId="TOC4">
    <w:name w:val="toc 4"/>
    <w:basedOn w:val="Normal"/>
    <w:next w:val="Normal"/>
    <w:autoRedefine/>
    <w:uiPriority w:val="39"/>
    <w:unhideWhenUsed/>
    <w:rsid w:val="000276A7"/>
    <w:pPr>
      <w:spacing w:before="0" w:after="100" w:line="278" w:lineRule="auto"/>
      <w:ind w:left="720"/>
    </w:pPr>
    <w:rPr>
      <w:rFonts w:asciiTheme="minorHAnsi" w:eastAsiaTheme="minorEastAsia" w:hAnsiTheme="minorHAnsi"/>
      <w:sz w:val="24"/>
      <w:szCs w:val="24"/>
      <w:lang w:eastAsia="en-AU"/>
    </w:rPr>
  </w:style>
  <w:style w:type="paragraph" w:styleId="TOC5">
    <w:name w:val="toc 5"/>
    <w:basedOn w:val="Normal"/>
    <w:next w:val="Normal"/>
    <w:autoRedefine/>
    <w:uiPriority w:val="39"/>
    <w:unhideWhenUsed/>
    <w:rsid w:val="000276A7"/>
    <w:pPr>
      <w:spacing w:before="0" w:after="100" w:line="278" w:lineRule="auto"/>
      <w:ind w:left="960"/>
    </w:pPr>
    <w:rPr>
      <w:rFonts w:asciiTheme="minorHAnsi" w:eastAsiaTheme="minorEastAsia" w:hAnsiTheme="minorHAnsi"/>
      <w:sz w:val="24"/>
      <w:szCs w:val="24"/>
      <w:lang w:eastAsia="en-AU"/>
    </w:rPr>
  </w:style>
  <w:style w:type="paragraph" w:styleId="TOC6">
    <w:name w:val="toc 6"/>
    <w:basedOn w:val="Normal"/>
    <w:next w:val="Normal"/>
    <w:autoRedefine/>
    <w:uiPriority w:val="39"/>
    <w:unhideWhenUsed/>
    <w:rsid w:val="000276A7"/>
    <w:pPr>
      <w:spacing w:before="0" w:after="100" w:line="278" w:lineRule="auto"/>
      <w:ind w:left="1200"/>
    </w:pPr>
    <w:rPr>
      <w:rFonts w:asciiTheme="minorHAnsi" w:eastAsiaTheme="minorEastAsia" w:hAnsiTheme="minorHAnsi"/>
      <w:sz w:val="24"/>
      <w:szCs w:val="24"/>
      <w:lang w:eastAsia="en-AU"/>
    </w:rPr>
  </w:style>
  <w:style w:type="paragraph" w:styleId="TOC7">
    <w:name w:val="toc 7"/>
    <w:basedOn w:val="Normal"/>
    <w:next w:val="Normal"/>
    <w:autoRedefine/>
    <w:uiPriority w:val="39"/>
    <w:unhideWhenUsed/>
    <w:rsid w:val="000276A7"/>
    <w:pPr>
      <w:spacing w:before="0" w:after="100" w:line="278" w:lineRule="auto"/>
      <w:ind w:left="1440"/>
    </w:pPr>
    <w:rPr>
      <w:rFonts w:asciiTheme="minorHAnsi" w:eastAsiaTheme="minorEastAsia" w:hAnsiTheme="minorHAnsi"/>
      <w:sz w:val="24"/>
      <w:szCs w:val="24"/>
      <w:lang w:eastAsia="en-AU"/>
    </w:rPr>
  </w:style>
  <w:style w:type="paragraph" w:styleId="TOC8">
    <w:name w:val="toc 8"/>
    <w:basedOn w:val="Normal"/>
    <w:next w:val="Normal"/>
    <w:autoRedefine/>
    <w:uiPriority w:val="39"/>
    <w:unhideWhenUsed/>
    <w:rsid w:val="000276A7"/>
    <w:pPr>
      <w:spacing w:before="0" w:after="100" w:line="278" w:lineRule="auto"/>
      <w:ind w:left="1680"/>
    </w:pPr>
    <w:rPr>
      <w:rFonts w:asciiTheme="minorHAnsi" w:eastAsiaTheme="minorEastAsia" w:hAnsiTheme="minorHAnsi"/>
      <w:sz w:val="24"/>
      <w:szCs w:val="24"/>
      <w:lang w:eastAsia="en-AU"/>
    </w:rPr>
  </w:style>
  <w:style w:type="paragraph" w:styleId="TOC9">
    <w:name w:val="toc 9"/>
    <w:basedOn w:val="Normal"/>
    <w:next w:val="Normal"/>
    <w:autoRedefine/>
    <w:uiPriority w:val="39"/>
    <w:unhideWhenUsed/>
    <w:rsid w:val="000276A7"/>
    <w:pPr>
      <w:spacing w:before="0" w:after="100" w:line="278" w:lineRule="auto"/>
      <w:ind w:left="1920"/>
    </w:pPr>
    <w:rPr>
      <w:rFonts w:asciiTheme="minorHAnsi" w:eastAsiaTheme="minorEastAsia" w:hAnsiTheme="minorHAnsi"/>
      <w:sz w:val="24"/>
      <w:szCs w:val="24"/>
      <w:lang w:eastAsia="en-AU"/>
    </w:rPr>
  </w:style>
  <w:style w:type="character" w:styleId="FollowedHyperlink">
    <w:name w:val="FollowedHyperlink"/>
    <w:basedOn w:val="DefaultParagraphFont"/>
    <w:uiPriority w:val="99"/>
    <w:semiHidden/>
    <w:unhideWhenUsed/>
    <w:rsid w:val="00D872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99311">
      <w:bodyDiv w:val="1"/>
      <w:marLeft w:val="0"/>
      <w:marRight w:val="0"/>
      <w:marTop w:val="0"/>
      <w:marBottom w:val="0"/>
      <w:divBdr>
        <w:top w:val="none" w:sz="0" w:space="0" w:color="auto"/>
        <w:left w:val="none" w:sz="0" w:space="0" w:color="auto"/>
        <w:bottom w:val="none" w:sz="0" w:space="0" w:color="auto"/>
        <w:right w:val="none" w:sz="0" w:space="0" w:color="auto"/>
      </w:divBdr>
    </w:div>
    <w:div w:id="80687202">
      <w:bodyDiv w:val="1"/>
      <w:marLeft w:val="0"/>
      <w:marRight w:val="0"/>
      <w:marTop w:val="0"/>
      <w:marBottom w:val="0"/>
      <w:divBdr>
        <w:top w:val="none" w:sz="0" w:space="0" w:color="auto"/>
        <w:left w:val="none" w:sz="0" w:space="0" w:color="auto"/>
        <w:bottom w:val="none" w:sz="0" w:space="0" w:color="auto"/>
        <w:right w:val="none" w:sz="0" w:space="0" w:color="auto"/>
      </w:divBdr>
      <w:divsChild>
        <w:div w:id="42409682">
          <w:marLeft w:val="0"/>
          <w:marRight w:val="0"/>
          <w:marTop w:val="0"/>
          <w:marBottom w:val="0"/>
          <w:divBdr>
            <w:top w:val="none" w:sz="0" w:space="0" w:color="auto"/>
            <w:left w:val="none" w:sz="0" w:space="0" w:color="auto"/>
            <w:bottom w:val="none" w:sz="0" w:space="0" w:color="auto"/>
            <w:right w:val="none" w:sz="0" w:space="0" w:color="auto"/>
          </w:divBdr>
        </w:div>
        <w:div w:id="52195734">
          <w:marLeft w:val="0"/>
          <w:marRight w:val="0"/>
          <w:marTop w:val="0"/>
          <w:marBottom w:val="0"/>
          <w:divBdr>
            <w:top w:val="none" w:sz="0" w:space="0" w:color="auto"/>
            <w:left w:val="none" w:sz="0" w:space="0" w:color="auto"/>
            <w:bottom w:val="none" w:sz="0" w:space="0" w:color="auto"/>
            <w:right w:val="none" w:sz="0" w:space="0" w:color="auto"/>
          </w:divBdr>
        </w:div>
        <w:div w:id="106700825">
          <w:marLeft w:val="0"/>
          <w:marRight w:val="0"/>
          <w:marTop w:val="0"/>
          <w:marBottom w:val="0"/>
          <w:divBdr>
            <w:top w:val="none" w:sz="0" w:space="0" w:color="auto"/>
            <w:left w:val="none" w:sz="0" w:space="0" w:color="auto"/>
            <w:bottom w:val="none" w:sz="0" w:space="0" w:color="auto"/>
            <w:right w:val="none" w:sz="0" w:space="0" w:color="auto"/>
          </w:divBdr>
        </w:div>
        <w:div w:id="117258665">
          <w:marLeft w:val="0"/>
          <w:marRight w:val="0"/>
          <w:marTop w:val="0"/>
          <w:marBottom w:val="0"/>
          <w:divBdr>
            <w:top w:val="none" w:sz="0" w:space="0" w:color="auto"/>
            <w:left w:val="none" w:sz="0" w:space="0" w:color="auto"/>
            <w:bottom w:val="none" w:sz="0" w:space="0" w:color="auto"/>
            <w:right w:val="none" w:sz="0" w:space="0" w:color="auto"/>
          </w:divBdr>
        </w:div>
        <w:div w:id="312410127">
          <w:marLeft w:val="0"/>
          <w:marRight w:val="0"/>
          <w:marTop w:val="0"/>
          <w:marBottom w:val="0"/>
          <w:divBdr>
            <w:top w:val="none" w:sz="0" w:space="0" w:color="auto"/>
            <w:left w:val="none" w:sz="0" w:space="0" w:color="auto"/>
            <w:bottom w:val="none" w:sz="0" w:space="0" w:color="auto"/>
            <w:right w:val="none" w:sz="0" w:space="0" w:color="auto"/>
          </w:divBdr>
        </w:div>
        <w:div w:id="376392606">
          <w:marLeft w:val="0"/>
          <w:marRight w:val="0"/>
          <w:marTop w:val="0"/>
          <w:marBottom w:val="0"/>
          <w:divBdr>
            <w:top w:val="none" w:sz="0" w:space="0" w:color="auto"/>
            <w:left w:val="none" w:sz="0" w:space="0" w:color="auto"/>
            <w:bottom w:val="none" w:sz="0" w:space="0" w:color="auto"/>
            <w:right w:val="none" w:sz="0" w:space="0" w:color="auto"/>
          </w:divBdr>
        </w:div>
        <w:div w:id="413822126">
          <w:marLeft w:val="0"/>
          <w:marRight w:val="0"/>
          <w:marTop w:val="0"/>
          <w:marBottom w:val="0"/>
          <w:divBdr>
            <w:top w:val="none" w:sz="0" w:space="0" w:color="auto"/>
            <w:left w:val="none" w:sz="0" w:space="0" w:color="auto"/>
            <w:bottom w:val="none" w:sz="0" w:space="0" w:color="auto"/>
            <w:right w:val="none" w:sz="0" w:space="0" w:color="auto"/>
          </w:divBdr>
        </w:div>
        <w:div w:id="472723999">
          <w:marLeft w:val="0"/>
          <w:marRight w:val="0"/>
          <w:marTop w:val="0"/>
          <w:marBottom w:val="0"/>
          <w:divBdr>
            <w:top w:val="none" w:sz="0" w:space="0" w:color="auto"/>
            <w:left w:val="none" w:sz="0" w:space="0" w:color="auto"/>
            <w:bottom w:val="none" w:sz="0" w:space="0" w:color="auto"/>
            <w:right w:val="none" w:sz="0" w:space="0" w:color="auto"/>
          </w:divBdr>
        </w:div>
        <w:div w:id="642582695">
          <w:marLeft w:val="0"/>
          <w:marRight w:val="0"/>
          <w:marTop w:val="0"/>
          <w:marBottom w:val="0"/>
          <w:divBdr>
            <w:top w:val="none" w:sz="0" w:space="0" w:color="auto"/>
            <w:left w:val="none" w:sz="0" w:space="0" w:color="auto"/>
            <w:bottom w:val="none" w:sz="0" w:space="0" w:color="auto"/>
            <w:right w:val="none" w:sz="0" w:space="0" w:color="auto"/>
          </w:divBdr>
        </w:div>
        <w:div w:id="734207811">
          <w:marLeft w:val="0"/>
          <w:marRight w:val="0"/>
          <w:marTop w:val="0"/>
          <w:marBottom w:val="0"/>
          <w:divBdr>
            <w:top w:val="none" w:sz="0" w:space="0" w:color="auto"/>
            <w:left w:val="none" w:sz="0" w:space="0" w:color="auto"/>
            <w:bottom w:val="none" w:sz="0" w:space="0" w:color="auto"/>
            <w:right w:val="none" w:sz="0" w:space="0" w:color="auto"/>
          </w:divBdr>
        </w:div>
        <w:div w:id="857161472">
          <w:marLeft w:val="0"/>
          <w:marRight w:val="0"/>
          <w:marTop w:val="0"/>
          <w:marBottom w:val="0"/>
          <w:divBdr>
            <w:top w:val="none" w:sz="0" w:space="0" w:color="auto"/>
            <w:left w:val="none" w:sz="0" w:space="0" w:color="auto"/>
            <w:bottom w:val="none" w:sz="0" w:space="0" w:color="auto"/>
            <w:right w:val="none" w:sz="0" w:space="0" w:color="auto"/>
          </w:divBdr>
        </w:div>
        <w:div w:id="937248036">
          <w:marLeft w:val="0"/>
          <w:marRight w:val="0"/>
          <w:marTop w:val="0"/>
          <w:marBottom w:val="0"/>
          <w:divBdr>
            <w:top w:val="none" w:sz="0" w:space="0" w:color="auto"/>
            <w:left w:val="none" w:sz="0" w:space="0" w:color="auto"/>
            <w:bottom w:val="none" w:sz="0" w:space="0" w:color="auto"/>
            <w:right w:val="none" w:sz="0" w:space="0" w:color="auto"/>
          </w:divBdr>
        </w:div>
        <w:div w:id="939025451">
          <w:marLeft w:val="0"/>
          <w:marRight w:val="0"/>
          <w:marTop w:val="0"/>
          <w:marBottom w:val="0"/>
          <w:divBdr>
            <w:top w:val="none" w:sz="0" w:space="0" w:color="auto"/>
            <w:left w:val="none" w:sz="0" w:space="0" w:color="auto"/>
            <w:bottom w:val="none" w:sz="0" w:space="0" w:color="auto"/>
            <w:right w:val="none" w:sz="0" w:space="0" w:color="auto"/>
          </w:divBdr>
        </w:div>
        <w:div w:id="966622864">
          <w:marLeft w:val="0"/>
          <w:marRight w:val="0"/>
          <w:marTop w:val="0"/>
          <w:marBottom w:val="0"/>
          <w:divBdr>
            <w:top w:val="none" w:sz="0" w:space="0" w:color="auto"/>
            <w:left w:val="none" w:sz="0" w:space="0" w:color="auto"/>
            <w:bottom w:val="none" w:sz="0" w:space="0" w:color="auto"/>
            <w:right w:val="none" w:sz="0" w:space="0" w:color="auto"/>
          </w:divBdr>
        </w:div>
        <w:div w:id="1032876023">
          <w:marLeft w:val="0"/>
          <w:marRight w:val="0"/>
          <w:marTop w:val="0"/>
          <w:marBottom w:val="0"/>
          <w:divBdr>
            <w:top w:val="none" w:sz="0" w:space="0" w:color="auto"/>
            <w:left w:val="none" w:sz="0" w:space="0" w:color="auto"/>
            <w:bottom w:val="none" w:sz="0" w:space="0" w:color="auto"/>
            <w:right w:val="none" w:sz="0" w:space="0" w:color="auto"/>
          </w:divBdr>
        </w:div>
        <w:div w:id="1245723445">
          <w:marLeft w:val="0"/>
          <w:marRight w:val="0"/>
          <w:marTop w:val="0"/>
          <w:marBottom w:val="0"/>
          <w:divBdr>
            <w:top w:val="none" w:sz="0" w:space="0" w:color="auto"/>
            <w:left w:val="none" w:sz="0" w:space="0" w:color="auto"/>
            <w:bottom w:val="none" w:sz="0" w:space="0" w:color="auto"/>
            <w:right w:val="none" w:sz="0" w:space="0" w:color="auto"/>
          </w:divBdr>
        </w:div>
        <w:div w:id="1299645317">
          <w:marLeft w:val="0"/>
          <w:marRight w:val="0"/>
          <w:marTop w:val="0"/>
          <w:marBottom w:val="0"/>
          <w:divBdr>
            <w:top w:val="none" w:sz="0" w:space="0" w:color="auto"/>
            <w:left w:val="none" w:sz="0" w:space="0" w:color="auto"/>
            <w:bottom w:val="none" w:sz="0" w:space="0" w:color="auto"/>
            <w:right w:val="none" w:sz="0" w:space="0" w:color="auto"/>
          </w:divBdr>
        </w:div>
        <w:div w:id="1318266982">
          <w:marLeft w:val="0"/>
          <w:marRight w:val="0"/>
          <w:marTop w:val="0"/>
          <w:marBottom w:val="0"/>
          <w:divBdr>
            <w:top w:val="none" w:sz="0" w:space="0" w:color="auto"/>
            <w:left w:val="none" w:sz="0" w:space="0" w:color="auto"/>
            <w:bottom w:val="none" w:sz="0" w:space="0" w:color="auto"/>
            <w:right w:val="none" w:sz="0" w:space="0" w:color="auto"/>
          </w:divBdr>
        </w:div>
        <w:div w:id="1320228588">
          <w:marLeft w:val="0"/>
          <w:marRight w:val="0"/>
          <w:marTop w:val="0"/>
          <w:marBottom w:val="0"/>
          <w:divBdr>
            <w:top w:val="none" w:sz="0" w:space="0" w:color="auto"/>
            <w:left w:val="none" w:sz="0" w:space="0" w:color="auto"/>
            <w:bottom w:val="none" w:sz="0" w:space="0" w:color="auto"/>
            <w:right w:val="none" w:sz="0" w:space="0" w:color="auto"/>
          </w:divBdr>
        </w:div>
        <w:div w:id="1428843731">
          <w:marLeft w:val="0"/>
          <w:marRight w:val="0"/>
          <w:marTop w:val="0"/>
          <w:marBottom w:val="0"/>
          <w:divBdr>
            <w:top w:val="none" w:sz="0" w:space="0" w:color="auto"/>
            <w:left w:val="none" w:sz="0" w:space="0" w:color="auto"/>
            <w:bottom w:val="none" w:sz="0" w:space="0" w:color="auto"/>
            <w:right w:val="none" w:sz="0" w:space="0" w:color="auto"/>
          </w:divBdr>
        </w:div>
        <w:div w:id="1490369403">
          <w:marLeft w:val="0"/>
          <w:marRight w:val="0"/>
          <w:marTop w:val="0"/>
          <w:marBottom w:val="0"/>
          <w:divBdr>
            <w:top w:val="none" w:sz="0" w:space="0" w:color="auto"/>
            <w:left w:val="none" w:sz="0" w:space="0" w:color="auto"/>
            <w:bottom w:val="none" w:sz="0" w:space="0" w:color="auto"/>
            <w:right w:val="none" w:sz="0" w:space="0" w:color="auto"/>
          </w:divBdr>
        </w:div>
        <w:div w:id="1492334073">
          <w:marLeft w:val="0"/>
          <w:marRight w:val="0"/>
          <w:marTop w:val="0"/>
          <w:marBottom w:val="0"/>
          <w:divBdr>
            <w:top w:val="none" w:sz="0" w:space="0" w:color="auto"/>
            <w:left w:val="none" w:sz="0" w:space="0" w:color="auto"/>
            <w:bottom w:val="none" w:sz="0" w:space="0" w:color="auto"/>
            <w:right w:val="none" w:sz="0" w:space="0" w:color="auto"/>
          </w:divBdr>
        </w:div>
        <w:div w:id="1522160562">
          <w:marLeft w:val="0"/>
          <w:marRight w:val="0"/>
          <w:marTop w:val="0"/>
          <w:marBottom w:val="0"/>
          <w:divBdr>
            <w:top w:val="none" w:sz="0" w:space="0" w:color="auto"/>
            <w:left w:val="none" w:sz="0" w:space="0" w:color="auto"/>
            <w:bottom w:val="none" w:sz="0" w:space="0" w:color="auto"/>
            <w:right w:val="none" w:sz="0" w:space="0" w:color="auto"/>
          </w:divBdr>
        </w:div>
        <w:div w:id="1561944499">
          <w:marLeft w:val="0"/>
          <w:marRight w:val="0"/>
          <w:marTop w:val="0"/>
          <w:marBottom w:val="0"/>
          <w:divBdr>
            <w:top w:val="none" w:sz="0" w:space="0" w:color="auto"/>
            <w:left w:val="none" w:sz="0" w:space="0" w:color="auto"/>
            <w:bottom w:val="none" w:sz="0" w:space="0" w:color="auto"/>
            <w:right w:val="none" w:sz="0" w:space="0" w:color="auto"/>
          </w:divBdr>
        </w:div>
        <w:div w:id="1619340370">
          <w:marLeft w:val="0"/>
          <w:marRight w:val="0"/>
          <w:marTop w:val="0"/>
          <w:marBottom w:val="0"/>
          <w:divBdr>
            <w:top w:val="none" w:sz="0" w:space="0" w:color="auto"/>
            <w:left w:val="none" w:sz="0" w:space="0" w:color="auto"/>
            <w:bottom w:val="none" w:sz="0" w:space="0" w:color="auto"/>
            <w:right w:val="none" w:sz="0" w:space="0" w:color="auto"/>
          </w:divBdr>
        </w:div>
        <w:div w:id="1626931237">
          <w:marLeft w:val="0"/>
          <w:marRight w:val="0"/>
          <w:marTop w:val="0"/>
          <w:marBottom w:val="0"/>
          <w:divBdr>
            <w:top w:val="none" w:sz="0" w:space="0" w:color="auto"/>
            <w:left w:val="none" w:sz="0" w:space="0" w:color="auto"/>
            <w:bottom w:val="none" w:sz="0" w:space="0" w:color="auto"/>
            <w:right w:val="none" w:sz="0" w:space="0" w:color="auto"/>
          </w:divBdr>
        </w:div>
        <w:div w:id="1651984819">
          <w:marLeft w:val="0"/>
          <w:marRight w:val="0"/>
          <w:marTop w:val="0"/>
          <w:marBottom w:val="0"/>
          <w:divBdr>
            <w:top w:val="none" w:sz="0" w:space="0" w:color="auto"/>
            <w:left w:val="none" w:sz="0" w:space="0" w:color="auto"/>
            <w:bottom w:val="none" w:sz="0" w:space="0" w:color="auto"/>
            <w:right w:val="none" w:sz="0" w:space="0" w:color="auto"/>
          </w:divBdr>
        </w:div>
        <w:div w:id="1778521306">
          <w:marLeft w:val="0"/>
          <w:marRight w:val="0"/>
          <w:marTop w:val="0"/>
          <w:marBottom w:val="0"/>
          <w:divBdr>
            <w:top w:val="none" w:sz="0" w:space="0" w:color="auto"/>
            <w:left w:val="none" w:sz="0" w:space="0" w:color="auto"/>
            <w:bottom w:val="none" w:sz="0" w:space="0" w:color="auto"/>
            <w:right w:val="none" w:sz="0" w:space="0" w:color="auto"/>
          </w:divBdr>
        </w:div>
        <w:div w:id="1950774062">
          <w:marLeft w:val="0"/>
          <w:marRight w:val="0"/>
          <w:marTop w:val="0"/>
          <w:marBottom w:val="0"/>
          <w:divBdr>
            <w:top w:val="none" w:sz="0" w:space="0" w:color="auto"/>
            <w:left w:val="none" w:sz="0" w:space="0" w:color="auto"/>
            <w:bottom w:val="none" w:sz="0" w:space="0" w:color="auto"/>
            <w:right w:val="none" w:sz="0" w:space="0" w:color="auto"/>
          </w:divBdr>
        </w:div>
        <w:div w:id="2012558149">
          <w:marLeft w:val="0"/>
          <w:marRight w:val="0"/>
          <w:marTop w:val="0"/>
          <w:marBottom w:val="0"/>
          <w:divBdr>
            <w:top w:val="none" w:sz="0" w:space="0" w:color="auto"/>
            <w:left w:val="none" w:sz="0" w:space="0" w:color="auto"/>
            <w:bottom w:val="none" w:sz="0" w:space="0" w:color="auto"/>
            <w:right w:val="none" w:sz="0" w:space="0" w:color="auto"/>
          </w:divBdr>
        </w:div>
        <w:div w:id="2067334757">
          <w:marLeft w:val="0"/>
          <w:marRight w:val="0"/>
          <w:marTop w:val="0"/>
          <w:marBottom w:val="0"/>
          <w:divBdr>
            <w:top w:val="none" w:sz="0" w:space="0" w:color="auto"/>
            <w:left w:val="none" w:sz="0" w:space="0" w:color="auto"/>
            <w:bottom w:val="none" w:sz="0" w:space="0" w:color="auto"/>
            <w:right w:val="none" w:sz="0" w:space="0" w:color="auto"/>
          </w:divBdr>
        </w:div>
        <w:div w:id="2069763123">
          <w:marLeft w:val="0"/>
          <w:marRight w:val="0"/>
          <w:marTop w:val="0"/>
          <w:marBottom w:val="0"/>
          <w:divBdr>
            <w:top w:val="none" w:sz="0" w:space="0" w:color="auto"/>
            <w:left w:val="none" w:sz="0" w:space="0" w:color="auto"/>
            <w:bottom w:val="none" w:sz="0" w:space="0" w:color="auto"/>
            <w:right w:val="none" w:sz="0" w:space="0" w:color="auto"/>
          </w:divBdr>
        </w:div>
        <w:div w:id="2090733080">
          <w:marLeft w:val="0"/>
          <w:marRight w:val="0"/>
          <w:marTop w:val="0"/>
          <w:marBottom w:val="0"/>
          <w:divBdr>
            <w:top w:val="none" w:sz="0" w:space="0" w:color="auto"/>
            <w:left w:val="none" w:sz="0" w:space="0" w:color="auto"/>
            <w:bottom w:val="none" w:sz="0" w:space="0" w:color="auto"/>
            <w:right w:val="none" w:sz="0" w:space="0" w:color="auto"/>
          </w:divBdr>
        </w:div>
        <w:div w:id="2090882219">
          <w:marLeft w:val="0"/>
          <w:marRight w:val="0"/>
          <w:marTop w:val="0"/>
          <w:marBottom w:val="0"/>
          <w:divBdr>
            <w:top w:val="none" w:sz="0" w:space="0" w:color="auto"/>
            <w:left w:val="none" w:sz="0" w:space="0" w:color="auto"/>
            <w:bottom w:val="none" w:sz="0" w:space="0" w:color="auto"/>
            <w:right w:val="none" w:sz="0" w:space="0" w:color="auto"/>
          </w:divBdr>
        </w:div>
        <w:div w:id="2115781902">
          <w:marLeft w:val="0"/>
          <w:marRight w:val="0"/>
          <w:marTop w:val="0"/>
          <w:marBottom w:val="0"/>
          <w:divBdr>
            <w:top w:val="none" w:sz="0" w:space="0" w:color="auto"/>
            <w:left w:val="none" w:sz="0" w:space="0" w:color="auto"/>
            <w:bottom w:val="none" w:sz="0" w:space="0" w:color="auto"/>
            <w:right w:val="none" w:sz="0" w:space="0" w:color="auto"/>
          </w:divBdr>
        </w:div>
        <w:div w:id="2129926150">
          <w:marLeft w:val="0"/>
          <w:marRight w:val="0"/>
          <w:marTop w:val="0"/>
          <w:marBottom w:val="0"/>
          <w:divBdr>
            <w:top w:val="none" w:sz="0" w:space="0" w:color="auto"/>
            <w:left w:val="none" w:sz="0" w:space="0" w:color="auto"/>
            <w:bottom w:val="none" w:sz="0" w:space="0" w:color="auto"/>
            <w:right w:val="none" w:sz="0" w:space="0" w:color="auto"/>
          </w:divBdr>
        </w:div>
      </w:divsChild>
    </w:div>
    <w:div w:id="134950470">
      <w:bodyDiv w:val="1"/>
      <w:marLeft w:val="0"/>
      <w:marRight w:val="0"/>
      <w:marTop w:val="0"/>
      <w:marBottom w:val="0"/>
      <w:divBdr>
        <w:top w:val="none" w:sz="0" w:space="0" w:color="auto"/>
        <w:left w:val="none" w:sz="0" w:space="0" w:color="auto"/>
        <w:bottom w:val="none" w:sz="0" w:space="0" w:color="auto"/>
        <w:right w:val="none" w:sz="0" w:space="0" w:color="auto"/>
      </w:divBdr>
    </w:div>
    <w:div w:id="187333778">
      <w:bodyDiv w:val="1"/>
      <w:marLeft w:val="0"/>
      <w:marRight w:val="0"/>
      <w:marTop w:val="0"/>
      <w:marBottom w:val="0"/>
      <w:divBdr>
        <w:top w:val="none" w:sz="0" w:space="0" w:color="auto"/>
        <w:left w:val="none" w:sz="0" w:space="0" w:color="auto"/>
        <w:bottom w:val="none" w:sz="0" w:space="0" w:color="auto"/>
        <w:right w:val="none" w:sz="0" w:space="0" w:color="auto"/>
      </w:divBdr>
    </w:div>
    <w:div w:id="197858054">
      <w:bodyDiv w:val="1"/>
      <w:marLeft w:val="0"/>
      <w:marRight w:val="0"/>
      <w:marTop w:val="0"/>
      <w:marBottom w:val="0"/>
      <w:divBdr>
        <w:top w:val="none" w:sz="0" w:space="0" w:color="auto"/>
        <w:left w:val="none" w:sz="0" w:space="0" w:color="auto"/>
        <w:bottom w:val="none" w:sz="0" w:space="0" w:color="auto"/>
        <w:right w:val="none" w:sz="0" w:space="0" w:color="auto"/>
      </w:divBdr>
      <w:divsChild>
        <w:div w:id="493881780">
          <w:marLeft w:val="0"/>
          <w:marRight w:val="0"/>
          <w:marTop w:val="0"/>
          <w:marBottom w:val="0"/>
          <w:divBdr>
            <w:top w:val="none" w:sz="0" w:space="0" w:color="auto"/>
            <w:left w:val="none" w:sz="0" w:space="0" w:color="auto"/>
            <w:bottom w:val="none" w:sz="0" w:space="0" w:color="auto"/>
            <w:right w:val="none" w:sz="0" w:space="0" w:color="auto"/>
          </w:divBdr>
        </w:div>
        <w:div w:id="953092601">
          <w:marLeft w:val="0"/>
          <w:marRight w:val="0"/>
          <w:marTop w:val="0"/>
          <w:marBottom w:val="0"/>
          <w:divBdr>
            <w:top w:val="none" w:sz="0" w:space="0" w:color="auto"/>
            <w:left w:val="none" w:sz="0" w:space="0" w:color="auto"/>
            <w:bottom w:val="none" w:sz="0" w:space="0" w:color="auto"/>
            <w:right w:val="none" w:sz="0" w:space="0" w:color="auto"/>
          </w:divBdr>
        </w:div>
        <w:div w:id="1416129741">
          <w:marLeft w:val="0"/>
          <w:marRight w:val="0"/>
          <w:marTop w:val="0"/>
          <w:marBottom w:val="0"/>
          <w:divBdr>
            <w:top w:val="none" w:sz="0" w:space="0" w:color="auto"/>
            <w:left w:val="none" w:sz="0" w:space="0" w:color="auto"/>
            <w:bottom w:val="none" w:sz="0" w:space="0" w:color="auto"/>
            <w:right w:val="none" w:sz="0" w:space="0" w:color="auto"/>
          </w:divBdr>
        </w:div>
      </w:divsChild>
    </w:div>
    <w:div w:id="214781022">
      <w:bodyDiv w:val="1"/>
      <w:marLeft w:val="0"/>
      <w:marRight w:val="0"/>
      <w:marTop w:val="0"/>
      <w:marBottom w:val="0"/>
      <w:divBdr>
        <w:top w:val="none" w:sz="0" w:space="0" w:color="auto"/>
        <w:left w:val="none" w:sz="0" w:space="0" w:color="auto"/>
        <w:bottom w:val="none" w:sz="0" w:space="0" w:color="auto"/>
        <w:right w:val="none" w:sz="0" w:space="0" w:color="auto"/>
      </w:divBdr>
      <w:divsChild>
        <w:div w:id="54089014">
          <w:marLeft w:val="0"/>
          <w:marRight w:val="0"/>
          <w:marTop w:val="0"/>
          <w:marBottom w:val="0"/>
          <w:divBdr>
            <w:top w:val="none" w:sz="0" w:space="0" w:color="auto"/>
            <w:left w:val="none" w:sz="0" w:space="0" w:color="auto"/>
            <w:bottom w:val="none" w:sz="0" w:space="0" w:color="auto"/>
            <w:right w:val="none" w:sz="0" w:space="0" w:color="auto"/>
          </w:divBdr>
          <w:divsChild>
            <w:div w:id="267155951">
              <w:marLeft w:val="0"/>
              <w:marRight w:val="0"/>
              <w:marTop w:val="0"/>
              <w:marBottom w:val="0"/>
              <w:divBdr>
                <w:top w:val="none" w:sz="0" w:space="0" w:color="auto"/>
                <w:left w:val="none" w:sz="0" w:space="0" w:color="auto"/>
                <w:bottom w:val="none" w:sz="0" w:space="0" w:color="auto"/>
                <w:right w:val="none" w:sz="0" w:space="0" w:color="auto"/>
              </w:divBdr>
            </w:div>
          </w:divsChild>
        </w:div>
        <w:div w:id="98911774">
          <w:marLeft w:val="0"/>
          <w:marRight w:val="0"/>
          <w:marTop w:val="0"/>
          <w:marBottom w:val="0"/>
          <w:divBdr>
            <w:top w:val="none" w:sz="0" w:space="0" w:color="auto"/>
            <w:left w:val="none" w:sz="0" w:space="0" w:color="auto"/>
            <w:bottom w:val="none" w:sz="0" w:space="0" w:color="auto"/>
            <w:right w:val="none" w:sz="0" w:space="0" w:color="auto"/>
          </w:divBdr>
          <w:divsChild>
            <w:div w:id="1881434927">
              <w:marLeft w:val="0"/>
              <w:marRight w:val="0"/>
              <w:marTop w:val="0"/>
              <w:marBottom w:val="0"/>
              <w:divBdr>
                <w:top w:val="none" w:sz="0" w:space="0" w:color="auto"/>
                <w:left w:val="none" w:sz="0" w:space="0" w:color="auto"/>
                <w:bottom w:val="none" w:sz="0" w:space="0" w:color="auto"/>
                <w:right w:val="none" w:sz="0" w:space="0" w:color="auto"/>
              </w:divBdr>
            </w:div>
          </w:divsChild>
        </w:div>
        <w:div w:id="1112090807">
          <w:marLeft w:val="0"/>
          <w:marRight w:val="0"/>
          <w:marTop w:val="0"/>
          <w:marBottom w:val="0"/>
          <w:divBdr>
            <w:top w:val="none" w:sz="0" w:space="0" w:color="auto"/>
            <w:left w:val="none" w:sz="0" w:space="0" w:color="auto"/>
            <w:bottom w:val="none" w:sz="0" w:space="0" w:color="auto"/>
            <w:right w:val="none" w:sz="0" w:space="0" w:color="auto"/>
          </w:divBdr>
          <w:divsChild>
            <w:div w:id="591744304">
              <w:marLeft w:val="0"/>
              <w:marRight w:val="0"/>
              <w:marTop w:val="0"/>
              <w:marBottom w:val="0"/>
              <w:divBdr>
                <w:top w:val="none" w:sz="0" w:space="0" w:color="auto"/>
                <w:left w:val="none" w:sz="0" w:space="0" w:color="auto"/>
                <w:bottom w:val="none" w:sz="0" w:space="0" w:color="auto"/>
                <w:right w:val="none" w:sz="0" w:space="0" w:color="auto"/>
              </w:divBdr>
            </w:div>
          </w:divsChild>
        </w:div>
        <w:div w:id="1557202379">
          <w:marLeft w:val="0"/>
          <w:marRight w:val="0"/>
          <w:marTop w:val="0"/>
          <w:marBottom w:val="0"/>
          <w:divBdr>
            <w:top w:val="none" w:sz="0" w:space="0" w:color="auto"/>
            <w:left w:val="none" w:sz="0" w:space="0" w:color="auto"/>
            <w:bottom w:val="none" w:sz="0" w:space="0" w:color="auto"/>
            <w:right w:val="none" w:sz="0" w:space="0" w:color="auto"/>
          </w:divBdr>
          <w:divsChild>
            <w:div w:id="966860454">
              <w:marLeft w:val="0"/>
              <w:marRight w:val="0"/>
              <w:marTop w:val="0"/>
              <w:marBottom w:val="0"/>
              <w:divBdr>
                <w:top w:val="none" w:sz="0" w:space="0" w:color="auto"/>
                <w:left w:val="none" w:sz="0" w:space="0" w:color="auto"/>
                <w:bottom w:val="none" w:sz="0" w:space="0" w:color="auto"/>
                <w:right w:val="none" w:sz="0" w:space="0" w:color="auto"/>
              </w:divBdr>
            </w:div>
          </w:divsChild>
        </w:div>
        <w:div w:id="2134129666">
          <w:marLeft w:val="0"/>
          <w:marRight w:val="0"/>
          <w:marTop w:val="0"/>
          <w:marBottom w:val="0"/>
          <w:divBdr>
            <w:top w:val="none" w:sz="0" w:space="0" w:color="auto"/>
            <w:left w:val="none" w:sz="0" w:space="0" w:color="auto"/>
            <w:bottom w:val="none" w:sz="0" w:space="0" w:color="auto"/>
            <w:right w:val="none" w:sz="0" w:space="0" w:color="auto"/>
          </w:divBdr>
          <w:divsChild>
            <w:div w:id="8477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33125">
      <w:bodyDiv w:val="1"/>
      <w:marLeft w:val="0"/>
      <w:marRight w:val="0"/>
      <w:marTop w:val="0"/>
      <w:marBottom w:val="0"/>
      <w:divBdr>
        <w:top w:val="none" w:sz="0" w:space="0" w:color="auto"/>
        <w:left w:val="none" w:sz="0" w:space="0" w:color="auto"/>
        <w:bottom w:val="none" w:sz="0" w:space="0" w:color="auto"/>
        <w:right w:val="none" w:sz="0" w:space="0" w:color="auto"/>
      </w:divBdr>
    </w:div>
    <w:div w:id="314182422">
      <w:bodyDiv w:val="1"/>
      <w:marLeft w:val="0"/>
      <w:marRight w:val="0"/>
      <w:marTop w:val="0"/>
      <w:marBottom w:val="0"/>
      <w:divBdr>
        <w:top w:val="none" w:sz="0" w:space="0" w:color="auto"/>
        <w:left w:val="none" w:sz="0" w:space="0" w:color="auto"/>
        <w:bottom w:val="none" w:sz="0" w:space="0" w:color="auto"/>
        <w:right w:val="none" w:sz="0" w:space="0" w:color="auto"/>
      </w:divBdr>
      <w:divsChild>
        <w:div w:id="206916180">
          <w:marLeft w:val="0"/>
          <w:marRight w:val="0"/>
          <w:marTop w:val="0"/>
          <w:marBottom w:val="0"/>
          <w:divBdr>
            <w:top w:val="none" w:sz="0" w:space="0" w:color="auto"/>
            <w:left w:val="none" w:sz="0" w:space="0" w:color="auto"/>
            <w:bottom w:val="none" w:sz="0" w:space="0" w:color="auto"/>
            <w:right w:val="none" w:sz="0" w:space="0" w:color="auto"/>
          </w:divBdr>
          <w:divsChild>
            <w:div w:id="1813057697">
              <w:marLeft w:val="0"/>
              <w:marRight w:val="0"/>
              <w:marTop w:val="30"/>
              <w:marBottom w:val="30"/>
              <w:divBdr>
                <w:top w:val="none" w:sz="0" w:space="0" w:color="auto"/>
                <w:left w:val="none" w:sz="0" w:space="0" w:color="auto"/>
                <w:bottom w:val="none" w:sz="0" w:space="0" w:color="auto"/>
                <w:right w:val="none" w:sz="0" w:space="0" w:color="auto"/>
              </w:divBdr>
              <w:divsChild>
                <w:div w:id="7369804">
                  <w:marLeft w:val="0"/>
                  <w:marRight w:val="0"/>
                  <w:marTop w:val="0"/>
                  <w:marBottom w:val="0"/>
                  <w:divBdr>
                    <w:top w:val="none" w:sz="0" w:space="0" w:color="auto"/>
                    <w:left w:val="none" w:sz="0" w:space="0" w:color="auto"/>
                    <w:bottom w:val="none" w:sz="0" w:space="0" w:color="auto"/>
                    <w:right w:val="none" w:sz="0" w:space="0" w:color="auto"/>
                  </w:divBdr>
                  <w:divsChild>
                    <w:div w:id="2017152722">
                      <w:marLeft w:val="0"/>
                      <w:marRight w:val="0"/>
                      <w:marTop w:val="0"/>
                      <w:marBottom w:val="0"/>
                      <w:divBdr>
                        <w:top w:val="none" w:sz="0" w:space="0" w:color="auto"/>
                        <w:left w:val="none" w:sz="0" w:space="0" w:color="auto"/>
                        <w:bottom w:val="none" w:sz="0" w:space="0" w:color="auto"/>
                        <w:right w:val="none" w:sz="0" w:space="0" w:color="auto"/>
                      </w:divBdr>
                    </w:div>
                  </w:divsChild>
                </w:div>
                <w:div w:id="78336221">
                  <w:marLeft w:val="0"/>
                  <w:marRight w:val="0"/>
                  <w:marTop w:val="0"/>
                  <w:marBottom w:val="0"/>
                  <w:divBdr>
                    <w:top w:val="none" w:sz="0" w:space="0" w:color="auto"/>
                    <w:left w:val="none" w:sz="0" w:space="0" w:color="auto"/>
                    <w:bottom w:val="none" w:sz="0" w:space="0" w:color="auto"/>
                    <w:right w:val="none" w:sz="0" w:space="0" w:color="auto"/>
                  </w:divBdr>
                  <w:divsChild>
                    <w:div w:id="779447120">
                      <w:marLeft w:val="0"/>
                      <w:marRight w:val="0"/>
                      <w:marTop w:val="0"/>
                      <w:marBottom w:val="0"/>
                      <w:divBdr>
                        <w:top w:val="none" w:sz="0" w:space="0" w:color="auto"/>
                        <w:left w:val="none" w:sz="0" w:space="0" w:color="auto"/>
                        <w:bottom w:val="none" w:sz="0" w:space="0" w:color="auto"/>
                        <w:right w:val="none" w:sz="0" w:space="0" w:color="auto"/>
                      </w:divBdr>
                    </w:div>
                  </w:divsChild>
                </w:div>
                <w:div w:id="102115138">
                  <w:marLeft w:val="0"/>
                  <w:marRight w:val="0"/>
                  <w:marTop w:val="0"/>
                  <w:marBottom w:val="0"/>
                  <w:divBdr>
                    <w:top w:val="none" w:sz="0" w:space="0" w:color="auto"/>
                    <w:left w:val="none" w:sz="0" w:space="0" w:color="auto"/>
                    <w:bottom w:val="none" w:sz="0" w:space="0" w:color="auto"/>
                    <w:right w:val="none" w:sz="0" w:space="0" w:color="auto"/>
                  </w:divBdr>
                  <w:divsChild>
                    <w:div w:id="1707369876">
                      <w:marLeft w:val="0"/>
                      <w:marRight w:val="0"/>
                      <w:marTop w:val="0"/>
                      <w:marBottom w:val="0"/>
                      <w:divBdr>
                        <w:top w:val="none" w:sz="0" w:space="0" w:color="auto"/>
                        <w:left w:val="none" w:sz="0" w:space="0" w:color="auto"/>
                        <w:bottom w:val="none" w:sz="0" w:space="0" w:color="auto"/>
                        <w:right w:val="none" w:sz="0" w:space="0" w:color="auto"/>
                      </w:divBdr>
                    </w:div>
                  </w:divsChild>
                </w:div>
                <w:div w:id="125780928">
                  <w:marLeft w:val="0"/>
                  <w:marRight w:val="0"/>
                  <w:marTop w:val="0"/>
                  <w:marBottom w:val="0"/>
                  <w:divBdr>
                    <w:top w:val="none" w:sz="0" w:space="0" w:color="auto"/>
                    <w:left w:val="none" w:sz="0" w:space="0" w:color="auto"/>
                    <w:bottom w:val="none" w:sz="0" w:space="0" w:color="auto"/>
                    <w:right w:val="none" w:sz="0" w:space="0" w:color="auto"/>
                  </w:divBdr>
                  <w:divsChild>
                    <w:div w:id="1087311606">
                      <w:marLeft w:val="0"/>
                      <w:marRight w:val="0"/>
                      <w:marTop w:val="0"/>
                      <w:marBottom w:val="0"/>
                      <w:divBdr>
                        <w:top w:val="none" w:sz="0" w:space="0" w:color="auto"/>
                        <w:left w:val="none" w:sz="0" w:space="0" w:color="auto"/>
                        <w:bottom w:val="none" w:sz="0" w:space="0" w:color="auto"/>
                        <w:right w:val="none" w:sz="0" w:space="0" w:color="auto"/>
                      </w:divBdr>
                    </w:div>
                  </w:divsChild>
                </w:div>
                <w:div w:id="132721399">
                  <w:marLeft w:val="0"/>
                  <w:marRight w:val="0"/>
                  <w:marTop w:val="0"/>
                  <w:marBottom w:val="0"/>
                  <w:divBdr>
                    <w:top w:val="none" w:sz="0" w:space="0" w:color="auto"/>
                    <w:left w:val="none" w:sz="0" w:space="0" w:color="auto"/>
                    <w:bottom w:val="none" w:sz="0" w:space="0" w:color="auto"/>
                    <w:right w:val="none" w:sz="0" w:space="0" w:color="auto"/>
                  </w:divBdr>
                  <w:divsChild>
                    <w:div w:id="1552419591">
                      <w:marLeft w:val="0"/>
                      <w:marRight w:val="0"/>
                      <w:marTop w:val="0"/>
                      <w:marBottom w:val="0"/>
                      <w:divBdr>
                        <w:top w:val="none" w:sz="0" w:space="0" w:color="auto"/>
                        <w:left w:val="none" w:sz="0" w:space="0" w:color="auto"/>
                        <w:bottom w:val="none" w:sz="0" w:space="0" w:color="auto"/>
                        <w:right w:val="none" w:sz="0" w:space="0" w:color="auto"/>
                      </w:divBdr>
                    </w:div>
                  </w:divsChild>
                </w:div>
                <w:div w:id="156455982">
                  <w:marLeft w:val="0"/>
                  <w:marRight w:val="0"/>
                  <w:marTop w:val="0"/>
                  <w:marBottom w:val="0"/>
                  <w:divBdr>
                    <w:top w:val="none" w:sz="0" w:space="0" w:color="auto"/>
                    <w:left w:val="none" w:sz="0" w:space="0" w:color="auto"/>
                    <w:bottom w:val="none" w:sz="0" w:space="0" w:color="auto"/>
                    <w:right w:val="none" w:sz="0" w:space="0" w:color="auto"/>
                  </w:divBdr>
                  <w:divsChild>
                    <w:div w:id="2111197550">
                      <w:marLeft w:val="0"/>
                      <w:marRight w:val="0"/>
                      <w:marTop w:val="0"/>
                      <w:marBottom w:val="0"/>
                      <w:divBdr>
                        <w:top w:val="none" w:sz="0" w:space="0" w:color="auto"/>
                        <w:left w:val="none" w:sz="0" w:space="0" w:color="auto"/>
                        <w:bottom w:val="none" w:sz="0" w:space="0" w:color="auto"/>
                        <w:right w:val="none" w:sz="0" w:space="0" w:color="auto"/>
                      </w:divBdr>
                    </w:div>
                  </w:divsChild>
                </w:div>
                <w:div w:id="184372342">
                  <w:marLeft w:val="0"/>
                  <w:marRight w:val="0"/>
                  <w:marTop w:val="0"/>
                  <w:marBottom w:val="0"/>
                  <w:divBdr>
                    <w:top w:val="none" w:sz="0" w:space="0" w:color="auto"/>
                    <w:left w:val="none" w:sz="0" w:space="0" w:color="auto"/>
                    <w:bottom w:val="none" w:sz="0" w:space="0" w:color="auto"/>
                    <w:right w:val="none" w:sz="0" w:space="0" w:color="auto"/>
                  </w:divBdr>
                  <w:divsChild>
                    <w:div w:id="739256670">
                      <w:marLeft w:val="0"/>
                      <w:marRight w:val="0"/>
                      <w:marTop w:val="0"/>
                      <w:marBottom w:val="0"/>
                      <w:divBdr>
                        <w:top w:val="none" w:sz="0" w:space="0" w:color="auto"/>
                        <w:left w:val="none" w:sz="0" w:space="0" w:color="auto"/>
                        <w:bottom w:val="none" w:sz="0" w:space="0" w:color="auto"/>
                        <w:right w:val="none" w:sz="0" w:space="0" w:color="auto"/>
                      </w:divBdr>
                    </w:div>
                  </w:divsChild>
                </w:div>
                <w:div w:id="210729885">
                  <w:marLeft w:val="0"/>
                  <w:marRight w:val="0"/>
                  <w:marTop w:val="0"/>
                  <w:marBottom w:val="0"/>
                  <w:divBdr>
                    <w:top w:val="none" w:sz="0" w:space="0" w:color="auto"/>
                    <w:left w:val="none" w:sz="0" w:space="0" w:color="auto"/>
                    <w:bottom w:val="none" w:sz="0" w:space="0" w:color="auto"/>
                    <w:right w:val="none" w:sz="0" w:space="0" w:color="auto"/>
                  </w:divBdr>
                  <w:divsChild>
                    <w:div w:id="1812867195">
                      <w:marLeft w:val="0"/>
                      <w:marRight w:val="0"/>
                      <w:marTop w:val="0"/>
                      <w:marBottom w:val="0"/>
                      <w:divBdr>
                        <w:top w:val="none" w:sz="0" w:space="0" w:color="auto"/>
                        <w:left w:val="none" w:sz="0" w:space="0" w:color="auto"/>
                        <w:bottom w:val="none" w:sz="0" w:space="0" w:color="auto"/>
                        <w:right w:val="none" w:sz="0" w:space="0" w:color="auto"/>
                      </w:divBdr>
                    </w:div>
                  </w:divsChild>
                </w:div>
                <w:div w:id="250086135">
                  <w:marLeft w:val="0"/>
                  <w:marRight w:val="0"/>
                  <w:marTop w:val="0"/>
                  <w:marBottom w:val="0"/>
                  <w:divBdr>
                    <w:top w:val="none" w:sz="0" w:space="0" w:color="auto"/>
                    <w:left w:val="none" w:sz="0" w:space="0" w:color="auto"/>
                    <w:bottom w:val="none" w:sz="0" w:space="0" w:color="auto"/>
                    <w:right w:val="none" w:sz="0" w:space="0" w:color="auto"/>
                  </w:divBdr>
                  <w:divsChild>
                    <w:div w:id="1359314046">
                      <w:marLeft w:val="0"/>
                      <w:marRight w:val="0"/>
                      <w:marTop w:val="0"/>
                      <w:marBottom w:val="0"/>
                      <w:divBdr>
                        <w:top w:val="none" w:sz="0" w:space="0" w:color="auto"/>
                        <w:left w:val="none" w:sz="0" w:space="0" w:color="auto"/>
                        <w:bottom w:val="none" w:sz="0" w:space="0" w:color="auto"/>
                        <w:right w:val="none" w:sz="0" w:space="0" w:color="auto"/>
                      </w:divBdr>
                    </w:div>
                  </w:divsChild>
                </w:div>
                <w:div w:id="371150793">
                  <w:marLeft w:val="0"/>
                  <w:marRight w:val="0"/>
                  <w:marTop w:val="0"/>
                  <w:marBottom w:val="0"/>
                  <w:divBdr>
                    <w:top w:val="none" w:sz="0" w:space="0" w:color="auto"/>
                    <w:left w:val="none" w:sz="0" w:space="0" w:color="auto"/>
                    <w:bottom w:val="none" w:sz="0" w:space="0" w:color="auto"/>
                    <w:right w:val="none" w:sz="0" w:space="0" w:color="auto"/>
                  </w:divBdr>
                  <w:divsChild>
                    <w:div w:id="177698601">
                      <w:marLeft w:val="0"/>
                      <w:marRight w:val="0"/>
                      <w:marTop w:val="0"/>
                      <w:marBottom w:val="0"/>
                      <w:divBdr>
                        <w:top w:val="none" w:sz="0" w:space="0" w:color="auto"/>
                        <w:left w:val="none" w:sz="0" w:space="0" w:color="auto"/>
                        <w:bottom w:val="none" w:sz="0" w:space="0" w:color="auto"/>
                        <w:right w:val="none" w:sz="0" w:space="0" w:color="auto"/>
                      </w:divBdr>
                    </w:div>
                  </w:divsChild>
                </w:div>
                <w:div w:id="500311487">
                  <w:marLeft w:val="0"/>
                  <w:marRight w:val="0"/>
                  <w:marTop w:val="0"/>
                  <w:marBottom w:val="0"/>
                  <w:divBdr>
                    <w:top w:val="none" w:sz="0" w:space="0" w:color="auto"/>
                    <w:left w:val="none" w:sz="0" w:space="0" w:color="auto"/>
                    <w:bottom w:val="none" w:sz="0" w:space="0" w:color="auto"/>
                    <w:right w:val="none" w:sz="0" w:space="0" w:color="auto"/>
                  </w:divBdr>
                  <w:divsChild>
                    <w:div w:id="909072060">
                      <w:marLeft w:val="0"/>
                      <w:marRight w:val="0"/>
                      <w:marTop w:val="0"/>
                      <w:marBottom w:val="0"/>
                      <w:divBdr>
                        <w:top w:val="none" w:sz="0" w:space="0" w:color="auto"/>
                        <w:left w:val="none" w:sz="0" w:space="0" w:color="auto"/>
                        <w:bottom w:val="none" w:sz="0" w:space="0" w:color="auto"/>
                        <w:right w:val="none" w:sz="0" w:space="0" w:color="auto"/>
                      </w:divBdr>
                    </w:div>
                  </w:divsChild>
                </w:div>
                <w:div w:id="630862109">
                  <w:marLeft w:val="0"/>
                  <w:marRight w:val="0"/>
                  <w:marTop w:val="0"/>
                  <w:marBottom w:val="0"/>
                  <w:divBdr>
                    <w:top w:val="none" w:sz="0" w:space="0" w:color="auto"/>
                    <w:left w:val="none" w:sz="0" w:space="0" w:color="auto"/>
                    <w:bottom w:val="none" w:sz="0" w:space="0" w:color="auto"/>
                    <w:right w:val="none" w:sz="0" w:space="0" w:color="auto"/>
                  </w:divBdr>
                  <w:divsChild>
                    <w:div w:id="1054963785">
                      <w:marLeft w:val="0"/>
                      <w:marRight w:val="0"/>
                      <w:marTop w:val="0"/>
                      <w:marBottom w:val="0"/>
                      <w:divBdr>
                        <w:top w:val="none" w:sz="0" w:space="0" w:color="auto"/>
                        <w:left w:val="none" w:sz="0" w:space="0" w:color="auto"/>
                        <w:bottom w:val="none" w:sz="0" w:space="0" w:color="auto"/>
                        <w:right w:val="none" w:sz="0" w:space="0" w:color="auto"/>
                      </w:divBdr>
                    </w:div>
                  </w:divsChild>
                </w:div>
                <w:div w:id="665978267">
                  <w:marLeft w:val="0"/>
                  <w:marRight w:val="0"/>
                  <w:marTop w:val="0"/>
                  <w:marBottom w:val="0"/>
                  <w:divBdr>
                    <w:top w:val="none" w:sz="0" w:space="0" w:color="auto"/>
                    <w:left w:val="none" w:sz="0" w:space="0" w:color="auto"/>
                    <w:bottom w:val="none" w:sz="0" w:space="0" w:color="auto"/>
                    <w:right w:val="none" w:sz="0" w:space="0" w:color="auto"/>
                  </w:divBdr>
                  <w:divsChild>
                    <w:div w:id="1660646746">
                      <w:marLeft w:val="0"/>
                      <w:marRight w:val="0"/>
                      <w:marTop w:val="0"/>
                      <w:marBottom w:val="0"/>
                      <w:divBdr>
                        <w:top w:val="none" w:sz="0" w:space="0" w:color="auto"/>
                        <w:left w:val="none" w:sz="0" w:space="0" w:color="auto"/>
                        <w:bottom w:val="none" w:sz="0" w:space="0" w:color="auto"/>
                        <w:right w:val="none" w:sz="0" w:space="0" w:color="auto"/>
                      </w:divBdr>
                    </w:div>
                  </w:divsChild>
                </w:div>
                <w:div w:id="733544890">
                  <w:marLeft w:val="0"/>
                  <w:marRight w:val="0"/>
                  <w:marTop w:val="0"/>
                  <w:marBottom w:val="0"/>
                  <w:divBdr>
                    <w:top w:val="none" w:sz="0" w:space="0" w:color="auto"/>
                    <w:left w:val="none" w:sz="0" w:space="0" w:color="auto"/>
                    <w:bottom w:val="none" w:sz="0" w:space="0" w:color="auto"/>
                    <w:right w:val="none" w:sz="0" w:space="0" w:color="auto"/>
                  </w:divBdr>
                  <w:divsChild>
                    <w:div w:id="1831171365">
                      <w:marLeft w:val="0"/>
                      <w:marRight w:val="0"/>
                      <w:marTop w:val="0"/>
                      <w:marBottom w:val="0"/>
                      <w:divBdr>
                        <w:top w:val="none" w:sz="0" w:space="0" w:color="auto"/>
                        <w:left w:val="none" w:sz="0" w:space="0" w:color="auto"/>
                        <w:bottom w:val="none" w:sz="0" w:space="0" w:color="auto"/>
                        <w:right w:val="none" w:sz="0" w:space="0" w:color="auto"/>
                      </w:divBdr>
                    </w:div>
                  </w:divsChild>
                </w:div>
                <w:div w:id="757796362">
                  <w:marLeft w:val="0"/>
                  <w:marRight w:val="0"/>
                  <w:marTop w:val="0"/>
                  <w:marBottom w:val="0"/>
                  <w:divBdr>
                    <w:top w:val="none" w:sz="0" w:space="0" w:color="auto"/>
                    <w:left w:val="none" w:sz="0" w:space="0" w:color="auto"/>
                    <w:bottom w:val="none" w:sz="0" w:space="0" w:color="auto"/>
                    <w:right w:val="none" w:sz="0" w:space="0" w:color="auto"/>
                  </w:divBdr>
                  <w:divsChild>
                    <w:div w:id="2129931835">
                      <w:marLeft w:val="0"/>
                      <w:marRight w:val="0"/>
                      <w:marTop w:val="0"/>
                      <w:marBottom w:val="0"/>
                      <w:divBdr>
                        <w:top w:val="none" w:sz="0" w:space="0" w:color="auto"/>
                        <w:left w:val="none" w:sz="0" w:space="0" w:color="auto"/>
                        <w:bottom w:val="none" w:sz="0" w:space="0" w:color="auto"/>
                        <w:right w:val="none" w:sz="0" w:space="0" w:color="auto"/>
                      </w:divBdr>
                    </w:div>
                  </w:divsChild>
                </w:div>
                <w:div w:id="761994779">
                  <w:marLeft w:val="0"/>
                  <w:marRight w:val="0"/>
                  <w:marTop w:val="0"/>
                  <w:marBottom w:val="0"/>
                  <w:divBdr>
                    <w:top w:val="none" w:sz="0" w:space="0" w:color="auto"/>
                    <w:left w:val="none" w:sz="0" w:space="0" w:color="auto"/>
                    <w:bottom w:val="none" w:sz="0" w:space="0" w:color="auto"/>
                    <w:right w:val="none" w:sz="0" w:space="0" w:color="auto"/>
                  </w:divBdr>
                  <w:divsChild>
                    <w:div w:id="114764007">
                      <w:marLeft w:val="0"/>
                      <w:marRight w:val="0"/>
                      <w:marTop w:val="0"/>
                      <w:marBottom w:val="0"/>
                      <w:divBdr>
                        <w:top w:val="none" w:sz="0" w:space="0" w:color="auto"/>
                        <w:left w:val="none" w:sz="0" w:space="0" w:color="auto"/>
                        <w:bottom w:val="none" w:sz="0" w:space="0" w:color="auto"/>
                        <w:right w:val="none" w:sz="0" w:space="0" w:color="auto"/>
                      </w:divBdr>
                    </w:div>
                  </w:divsChild>
                </w:div>
                <w:div w:id="783229613">
                  <w:marLeft w:val="0"/>
                  <w:marRight w:val="0"/>
                  <w:marTop w:val="0"/>
                  <w:marBottom w:val="0"/>
                  <w:divBdr>
                    <w:top w:val="none" w:sz="0" w:space="0" w:color="auto"/>
                    <w:left w:val="none" w:sz="0" w:space="0" w:color="auto"/>
                    <w:bottom w:val="none" w:sz="0" w:space="0" w:color="auto"/>
                    <w:right w:val="none" w:sz="0" w:space="0" w:color="auto"/>
                  </w:divBdr>
                  <w:divsChild>
                    <w:div w:id="883784974">
                      <w:marLeft w:val="0"/>
                      <w:marRight w:val="0"/>
                      <w:marTop w:val="0"/>
                      <w:marBottom w:val="0"/>
                      <w:divBdr>
                        <w:top w:val="none" w:sz="0" w:space="0" w:color="auto"/>
                        <w:left w:val="none" w:sz="0" w:space="0" w:color="auto"/>
                        <w:bottom w:val="none" w:sz="0" w:space="0" w:color="auto"/>
                        <w:right w:val="none" w:sz="0" w:space="0" w:color="auto"/>
                      </w:divBdr>
                    </w:div>
                  </w:divsChild>
                </w:div>
                <w:div w:id="816457618">
                  <w:marLeft w:val="0"/>
                  <w:marRight w:val="0"/>
                  <w:marTop w:val="0"/>
                  <w:marBottom w:val="0"/>
                  <w:divBdr>
                    <w:top w:val="none" w:sz="0" w:space="0" w:color="auto"/>
                    <w:left w:val="none" w:sz="0" w:space="0" w:color="auto"/>
                    <w:bottom w:val="none" w:sz="0" w:space="0" w:color="auto"/>
                    <w:right w:val="none" w:sz="0" w:space="0" w:color="auto"/>
                  </w:divBdr>
                  <w:divsChild>
                    <w:div w:id="1619410419">
                      <w:marLeft w:val="0"/>
                      <w:marRight w:val="0"/>
                      <w:marTop w:val="0"/>
                      <w:marBottom w:val="0"/>
                      <w:divBdr>
                        <w:top w:val="none" w:sz="0" w:space="0" w:color="auto"/>
                        <w:left w:val="none" w:sz="0" w:space="0" w:color="auto"/>
                        <w:bottom w:val="none" w:sz="0" w:space="0" w:color="auto"/>
                        <w:right w:val="none" w:sz="0" w:space="0" w:color="auto"/>
                      </w:divBdr>
                    </w:div>
                  </w:divsChild>
                </w:div>
                <w:div w:id="818813845">
                  <w:marLeft w:val="0"/>
                  <w:marRight w:val="0"/>
                  <w:marTop w:val="0"/>
                  <w:marBottom w:val="0"/>
                  <w:divBdr>
                    <w:top w:val="none" w:sz="0" w:space="0" w:color="auto"/>
                    <w:left w:val="none" w:sz="0" w:space="0" w:color="auto"/>
                    <w:bottom w:val="none" w:sz="0" w:space="0" w:color="auto"/>
                    <w:right w:val="none" w:sz="0" w:space="0" w:color="auto"/>
                  </w:divBdr>
                  <w:divsChild>
                    <w:div w:id="2041857981">
                      <w:marLeft w:val="0"/>
                      <w:marRight w:val="0"/>
                      <w:marTop w:val="0"/>
                      <w:marBottom w:val="0"/>
                      <w:divBdr>
                        <w:top w:val="none" w:sz="0" w:space="0" w:color="auto"/>
                        <w:left w:val="none" w:sz="0" w:space="0" w:color="auto"/>
                        <w:bottom w:val="none" w:sz="0" w:space="0" w:color="auto"/>
                        <w:right w:val="none" w:sz="0" w:space="0" w:color="auto"/>
                      </w:divBdr>
                    </w:div>
                  </w:divsChild>
                </w:div>
                <w:div w:id="824127917">
                  <w:marLeft w:val="0"/>
                  <w:marRight w:val="0"/>
                  <w:marTop w:val="0"/>
                  <w:marBottom w:val="0"/>
                  <w:divBdr>
                    <w:top w:val="none" w:sz="0" w:space="0" w:color="auto"/>
                    <w:left w:val="none" w:sz="0" w:space="0" w:color="auto"/>
                    <w:bottom w:val="none" w:sz="0" w:space="0" w:color="auto"/>
                    <w:right w:val="none" w:sz="0" w:space="0" w:color="auto"/>
                  </w:divBdr>
                  <w:divsChild>
                    <w:div w:id="2017919955">
                      <w:marLeft w:val="0"/>
                      <w:marRight w:val="0"/>
                      <w:marTop w:val="0"/>
                      <w:marBottom w:val="0"/>
                      <w:divBdr>
                        <w:top w:val="none" w:sz="0" w:space="0" w:color="auto"/>
                        <w:left w:val="none" w:sz="0" w:space="0" w:color="auto"/>
                        <w:bottom w:val="none" w:sz="0" w:space="0" w:color="auto"/>
                        <w:right w:val="none" w:sz="0" w:space="0" w:color="auto"/>
                      </w:divBdr>
                    </w:div>
                  </w:divsChild>
                </w:div>
                <w:div w:id="875198843">
                  <w:marLeft w:val="0"/>
                  <w:marRight w:val="0"/>
                  <w:marTop w:val="0"/>
                  <w:marBottom w:val="0"/>
                  <w:divBdr>
                    <w:top w:val="none" w:sz="0" w:space="0" w:color="auto"/>
                    <w:left w:val="none" w:sz="0" w:space="0" w:color="auto"/>
                    <w:bottom w:val="none" w:sz="0" w:space="0" w:color="auto"/>
                    <w:right w:val="none" w:sz="0" w:space="0" w:color="auto"/>
                  </w:divBdr>
                  <w:divsChild>
                    <w:div w:id="384529741">
                      <w:marLeft w:val="0"/>
                      <w:marRight w:val="0"/>
                      <w:marTop w:val="0"/>
                      <w:marBottom w:val="0"/>
                      <w:divBdr>
                        <w:top w:val="none" w:sz="0" w:space="0" w:color="auto"/>
                        <w:left w:val="none" w:sz="0" w:space="0" w:color="auto"/>
                        <w:bottom w:val="none" w:sz="0" w:space="0" w:color="auto"/>
                        <w:right w:val="none" w:sz="0" w:space="0" w:color="auto"/>
                      </w:divBdr>
                    </w:div>
                  </w:divsChild>
                </w:div>
                <w:div w:id="902256102">
                  <w:marLeft w:val="0"/>
                  <w:marRight w:val="0"/>
                  <w:marTop w:val="0"/>
                  <w:marBottom w:val="0"/>
                  <w:divBdr>
                    <w:top w:val="none" w:sz="0" w:space="0" w:color="auto"/>
                    <w:left w:val="none" w:sz="0" w:space="0" w:color="auto"/>
                    <w:bottom w:val="none" w:sz="0" w:space="0" w:color="auto"/>
                    <w:right w:val="none" w:sz="0" w:space="0" w:color="auto"/>
                  </w:divBdr>
                  <w:divsChild>
                    <w:div w:id="1419711537">
                      <w:marLeft w:val="0"/>
                      <w:marRight w:val="0"/>
                      <w:marTop w:val="0"/>
                      <w:marBottom w:val="0"/>
                      <w:divBdr>
                        <w:top w:val="none" w:sz="0" w:space="0" w:color="auto"/>
                        <w:left w:val="none" w:sz="0" w:space="0" w:color="auto"/>
                        <w:bottom w:val="none" w:sz="0" w:space="0" w:color="auto"/>
                        <w:right w:val="none" w:sz="0" w:space="0" w:color="auto"/>
                      </w:divBdr>
                    </w:div>
                  </w:divsChild>
                </w:div>
                <w:div w:id="913127805">
                  <w:marLeft w:val="0"/>
                  <w:marRight w:val="0"/>
                  <w:marTop w:val="0"/>
                  <w:marBottom w:val="0"/>
                  <w:divBdr>
                    <w:top w:val="none" w:sz="0" w:space="0" w:color="auto"/>
                    <w:left w:val="none" w:sz="0" w:space="0" w:color="auto"/>
                    <w:bottom w:val="none" w:sz="0" w:space="0" w:color="auto"/>
                    <w:right w:val="none" w:sz="0" w:space="0" w:color="auto"/>
                  </w:divBdr>
                  <w:divsChild>
                    <w:div w:id="296957413">
                      <w:marLeft w:val="0"/>
                      <w:marRight w:val="0"/>
                      <w:marTop w:val="0"/>
                      <w:marBottom w:val="0"/>
                      <w:divBdr>
                        <w:top w:val="none" w:sz="0" w:space="0" w:color="auto"/>
                        <w:left w:val="none" w:sz="0" w:space="0" w:color="auto"/>
                        <w:bottom w:val="none" w:sz="0" w:space="0" w:color="auto"/>
                        <w:right w:val="none" w:sz="0" w:space="0" w:color="auto"/>
                      </w:divBdr>
                    </w:div>
                  </w:divsChild>
                </w:div>
                <w:div w:id="956257227">
                  <w:marLeft w:val="0"/>
                  <w:marRight w:val="0"/>
                  <w:marTop w:val="0"/>
                  <w:marBottom w:val="0"/>
                  <w:divBdr>
                    <w:top w:val="none" w:sz="0" w:space="0" w:color="auto"/>
                    <w:left w:val="none" w:sz="0" w:space="0" w:color="auto"/>
                    <w:bottom w:val="none" w:sz="0" w:space="0" w:color="auto"/>
                    <w:right w:val="none" w:sz="0" w:space="0" w:color="auto"/>
                  </w:divBdr>
                  <w:divsChild>
                    <w:div w:id="329792878">
                      <w:marLeft w:val="0"/>
                      <w:marRight w:val="0"/>
                      <w:marTop w:val="0"/>
                      <w:marBottom w:val="0"/>
                      <w:divBdr>
                        <w:top w:val="none" w:sz="0" w:space="0" w:color="auto"/>
                        <w:left w:val="none" w:sz="0" w:space="0" w:color="auto"/>
                        <w:bottom w:val="none" w:sz="0" w:space="0" w:color="auto"/>
                        <w:right w:val="none" w:sz="0" w:space="0" w:color="auto"/>
                      </w:divBdr>
                    </w:div>
                  </w:divsChild>
                </w:div>
                <w:div w:id="1024283370">
                  <w:marLeft w:val="0"/>
                  <w:marRight w:val="0"/>
                  <w:marTop w:val="0"/>
                  <w:marBottom w:val="0"/>
                  <w:divBdr>
                    <w:top w:val="none" w:sz="0" w:space="0" w:color="auto"/>
                    <w:left w:val="none" w:sz="0" w:space="0" w:color="auto"/>
                    <w:bottom w:val="none" w:sz="0" w:space="0" w:color="auto"/>
                    <w:right w:val="none" w:sz="0" w:space="0" w:color="auto"/>
                  </w:divBdr>
                  <w:divsChild>
                    <w:div w:id="163403924">
                      <w:marLeft w:val="0"/>
                      <w:marRight w:val="0"/>
                      <w:marTop w:val="0"/>
                      <w:marBottom w:val="0"/>
                      <w:divBdr>
                        <w:top w:val="none" w:sz="0" w:space="0" w:color="auto"/>
                        <w:left w:val="none" w:sz="0" w:space="0" w:color="auto"/>
                        <w:bottom w:val="none" w:sz="0" w:space="0" w:color="auto"/>
                        <w:right w:val="none" w:sz="0" w:space="0" w:color="auto"/>
                      </w:divBdr>
                    </w:div>
                  </w:divsChild>
                </w:div>
                <w:div w:id="1159540721">
                  <w:marLeft w:val="0"/>
                  <w:marRight w:val="0"/>
                  <w:marTop w:val="0"/>
                  <w:marBottom w:val="0"/>
                  <w:divBdr>
                    <w:top w:val="none" w:sz="0" w:space="0" w:color="auto"/>
                    <w:left w:val="none" w:sz="0" w:space="0" w:color="auto"/>
                    <w:bottom w:val="none" w:sz="0" w:space="0" w:color="auto"/>
                    <w:right w:val="none" w:sz="0" w:space="0" w:color="auto"/>
                  </w:divBdr>
                  <w:divsChild>
                    <w:div w:id="1765416293">
                      <w:marLeft w:val="0"/>
                      <w:marRight w:val="0"/>
                      <w:marTop w:val="0"/>
                      <w:marBottom w:val="0"/>
                      <w:divBdr>
                        <w:top w:val="none" w:sz="0" w:space="0" w:color="auto"/>
                        <w:left w:val="none" w:sz="0" w:space="0" w:color="auto"/>
                        <w:bottom w:val="none" w:sz="0" w:space="0" w:color="auto"/>
                        <w:right w:val="none" w:sz="0" w:space="0" w:color="auto"/>
                      </w:divBdr>
                    </w:div>
                  </w:divsChild>
                </w:div>
                <w:div w:id="1170751210">
                  <w:marLeft w:val="0"/>
                  <w:marRight w:val="0"/>
                  <w:marTop w:val="0"/>
                  <w:marBottom w:val="0"/>
                  <w:divBdr>
                    <w:top w:val="none" w:sz="0" w:space="0" w:color="auto"/>
                    <w:left w:val="none" w:sz="0" w:space="0" w:color="auto"/>
                    <w:bottom w:val="none" w:sz="0" w:space="0" w:color="auto"/>
                    <w:right w:val="none" w:sz="0" w:space="0" w:color="auto"/>
                  </w:divBdr>
                  <w:divsChild>
                    <w:div w:id="108936418">
                      <w:marLeft w:val="0"/>
                      <w:marRight w:val="0"/>
                      <w:marTop w:val="0"/>
                      <w:marBottom w:val="0"/>
                      <w:divBdr>
                        <w:top w:val="none" w:sz="0" w:space="0" w:color="auto"/>
                        <w:left w:val="none" w:sz="0" w:space="0" w:color="auto"/>
                        <w:bottom w:val="none" w:sz="0" w:space="0" w:color="auto"/>
                        <w:right w:val="none" w:sz="0" w:space="0" w:color="auto"/>
                      </w:divBdr>
                    </w:div>
                  </w:divsChild>
                </w:div>
                <w:div w:id="1199271490">
                  <w:marLeft w:val="0"/>
                  <w:marRight w:val="0"/>
                  <w:marTop w:val="0"/>
                  <w:marBottom w:val="0"/>
                  <w:divBdr>
                    <w:top w:val="none" w:sz="0" w:space="0" w:color="auto"/>
                    <w:left w:val="none" w:sz="0" w:space="0" w:color="auto"/>
                    <w:bottom w:val="none" w:sz="0" w:space="0" w:color="auto"/>
                    <w:right w:val="none" w:sz="0" w:space="0" w:color="auto"/>
                  </w:divBdr>
                  <w:divsChild>
                    <w:div w:id="1778870011">
                      <w:marLeft w:val="0"/>
                      <w:marRight w:val="0"/>
                      <w:marTop w:val="0"/>
                      <w:marBottom w:val="0"/>
                      <w:divBdr>
                        <w:top w:val="none" w:sz="0" w:space="0" w:color="auto"/>
                        <w:left w:val="none" w:sz="0" w:space="0" w:color="auto"/>
                        <w:bottom w:val="none" w:sz="0" w:space="0" w:color="auto"/>
                        <w:right w:val="none" w:sz="0" w:space="0" w:color="auto"/>
                      </w:divBdr>
                    </w:div>
                  </w:divsChild>
                </w:div>
                <w:div w:id="1219122595">
                  <w:marLeft w:val="0"/>
                  <w:marRight w:val="0"/>
                  <w:marTop w:val="0"/>
                  <w:marBottom w:val="0"/>
                  <w:divBdr>
                    <w:top w:val="none" w:sz="0" w:space="0" w:color="auto"/>
                    <w:left w:val="none" w:sz="0" w:space="0" w:color="auto"/>
                    <w:bottom w:val="none" w:sz="0" w:space="0" w:color="auto"/>
                    <w:right w:val="none" w:sz="0" w:space="0" w:color="auto"/>
                  </w:divBdr>
                  <w:divsChild>
                    <w:div w:id="2008289937">
                      <w:marLeft w:val="0"/>
                      <w:marRight w:val="0"/>
                      <w:marTop w:val="0"/>
                      <w:marBottom w:val="0"/>
                      <w:divBdr>
                        <w:top w:val="none" w:sz="0" w:space="0" w:color="auto"/>
                        <w:left w:val="none" w:sz="0" w:space="0" w:color="auto"/>
                        <w:bottom w:val="none" w:sz="0" w:space="0" w:color="auto"/>
                        <w:right w:val="none" w:sz="0" w:space="0" w:color="auto"/>
                      </w:divBdr>
                    </w:div>
                  </w:divsChild>
                </w:div>
                <w:div w:id="1274901164">
                  <w:marLeft w:val="0"/>
                  <w:marRight w:val="0"/>
                  <w:marTop w:val="0"/>
                  <w:marBottom w:val="0"/>
                  <w:divBdr>
                    <w:top w:val="none" w:sz="0" w:space="0" w:color="auto"/>
                    <w:left w:val="none" w:sz="0" w:space="0" w:color="auto"/>
                    <w:bottom w:val="none" w:sz="0" w:space="0" w:color="auto"/>
                    <w:right w:val="none" w:sz="0" w:space="0" w:color="auto"/>
                  </w:divBdr>
                  <w:divsChild>
                    <w:div w:id="729696620">
                      <w:marLeft w:val="0"/>
                      <w:marRight w:val="0"/>
                      <w:marTop w:val="0"/>
                      <w:marBottom w:val="0"/>
                      <w:divBdr>
                        <w:top w:val="none" w:sz="0" w:space="0" w:color="auto"/>
                        <w:left w:val="none" w:sz="0" w:space="0" w:color="auto"/>
                        <w:bottom w:val="none" w:sz="0" w:space="0" w:color="auto"/>
                        <w:right w:val="none" w:sz="0" w:space="0" w:color="auto"/>
                      </w:divBdr>
                    </w:div>
                  </w:divsChild>
                </w:div>
                <w:div w:id="1314020273">
                  <w:marLeft w:val="0"/>
                  <w:marRight w:val="0"/>
                  <w:marTop w:val="0"/>
                  <w:marBottom w:val="0"/>
                  <w:divBdr>
                    <w:top w:val="none" w:sz="0" w:space="0" w:color="auto"/>
                    <w:left w:val="none" w:sz="0" w:space="0" w:color="auto"/>
                    <w:bottom w:val="none" w:sz="0" w:space="0" w:color="auto"/>
                    <w:right w:val="none" w:sz="0" w:space="0" w:color="auto"/>
                  </w:divBdr>
                  <w:divsChild>
                    <w:div w:id="550076147">
                      <w:marLeft w:val="0"/>
                      <w:marRight w:val="0"/>
                      <w:marTop w:val="0"/>
                      <w:marBottom w:val="0"/>
                      <w:divBdr>
                        <w:top w:val="none" w:sz="0" w:space="0" w:color="auto"/>
                        <w:left w:val="none" w:sz="0" w:space="0" w:color="auto"/>
                        <w:bottom w:val="none" w:sz="0" w:space="0" w:color="auto"/>
                        <w:right w:val="none" w:sz="0" w:space="0" w:color="auto"/>
                      </w:divBdr>
                    </w:div>
                  </w:divsChild>
                </w:div>
                <w:div w:id="1391153831">
                  <w:marLeft w:val="0"/>
                  <w:marRight w:val="0"/>
                  <w:marTop w:val="0"/>
                  <w:marBottom w:val="0"/>
                  <w:divBdr>
                    <w:top w:val="none" w:sz="0" w:space="0" w:color="auto"/>
                    <w:left w:val="none" w:sz="0" w:space="0" w:color="auto"/>
                    <w:bottom w:val="none" w:sz="0" w:space="0" w:color="auto"/>
                    <w:right w:val="none" w:sz="0" w:space="0" w:color="auto"/>
                  </w:divBdr>
                  <w:divsChild>
                    <w:div w:id="633369540">
                      <w:marLeft w:val="0"/>
                      <w:marRight w:val="0"/>
                      <w:marTop w:val="0"/>
                      <w:marBottom w:val="0"/>
                      <w:divBdr>
                        <w:top w:val="none" w:sz="0" w:space="0" w:color="auto"/>
                        <w:left w:val="none" w:sz="0" w:space="0" w:color="auto"/>
                        <w:bottom w:val="none" w:sz="0" w:space="0" w:color="auto"/>
                        <w:right w:val="none" w:sz="0" w:space="0" w:color="auto"/>
                      </w:divBdr>
                    </w:div>
                  </w:divsChild>
                </w:div>
                <w:div w:id="1402825597">
                  <w:marLeft w:val="0"/>
                  <w:marRight w:val="0"/>
                  <w:marTop w:val="0"/>
                  <w:marBottom w:val="0"/>
                  <w:divBdr>
                    <w:top w:val="none" w:sz="0" w:space="0" w:color="auto"/>
                    <w:left w:val="none" w:sz="0" w:space="0" w:color="auto"/>
                    <w:bottom w:val="none" w:sz="0" w:space="0" w:color="auto"/>
                    <w:right w:val="none" w:sz="0" w:space="0" w:color="auto"/>
                  </w:divBdr>
                  <w:divsChild>
                    <w:div w:id="906453468">
                      <w:marLeft w:val="0"/>
                      <w:marRight w:val="0"/>
                      <w:marTop w:val="0"/>
                      <w:marBottom w:val="0"/>
                      <w:divBdr>
                        <w:top w:val="none" w:sz="0" w:space="0" w:color="auto"/>
                        <w:left w:val="none" w:sz="0" w:space="0" w:color="auto"/>
                        <w:bottom w:val="none" w:sz="0" w:space="0" w:color="auto"/>
                        <w:right w:val="none" w:sz="0" w:space="0" w:color="auto"/>
                      </w:divBdr>
                    </w:div>
                  </w:divsChild>
                </w:div>
                <w:div w:id="1435128347">
                  <w:marLeft w:val="0"/>
                  <w:marRight w:val="0"/>
                  <w:marTop w:val="0"/>
                  <w:marBottom w:val="0"/>
                  <w:divBdr>
                    <w:top w:val="none" w:sz="0" w:space="0" w:color="auto"/>
                    <w:left w:val="none" w:sz="0" w:space="0" w:color="auto"/>
                    <w:bottom w:val="none" w:sz="0" w:space="0" w:color="auto"/>
                    <w:right w:val="none" w:sz="0" w:space="0" w:color="auto"/>
                  </w:divBdr>
                  <w:divsChild>
                    <w:div w:id="756170552">
                      <w:marLeft w:val="0"/>
                      <w:marRight w:val="0"/>
                      <w:marTop w:val="0"/>
                      <w:marBottom w:val="0"/>
                      <w:divBdr>
                        <w:top w:val="none" w:sz="0" w:space="0" w:color="auto"/>
                        <w:left w:val="none" w:sz="0" w:space="0" w:color="auto"/>
                        <w:bottom w:val="none" w:sz="0" w:space="0" w:color="auto"/>
                        <w:right w:val="none" w:sz="0" w:space="0" w:color="auto"/>
                      </w:divBdr>
                    </w:div>
                  </w:divsChild>
                </w:div>
                <w:div w:id="1440757130">
                  <w:marLeft w:val="0"/>
                  <w:marRight w:val="0"/>
                  <w:marTop w:val="0"/>
                  <w:marBottom w:val="0"/>
                  <w:divBdr>
                    <w:top w:val="none" w:sz="0" w:space="0" w:color="auto"/>
                    <w:left w:val="none" w:sz="0" w:space="0" w:color="auto"/>
                    <w:bottom w:val="none" w:sz="0" w:space="0" w:color="auto"/>
                    <w:right w:val="none" w:sz="0" w:space="0" w:color="auto"/>
                  </w:divBdr>
                  <w:divsChild>
                    <w:div w:id="1301417563">
                      <w:marLeft w:val="0"/>
                      <w:marRight w:val="0"/>
                      <w:marTop w:val="0"/>
                      <w:marBottom w:val="0"/>
                      <w:divBdr>
                        <w:top w:val="none" w:sz="0" w:space="0" w:color="auto"/>
                        <w:left w:val="none" w:sz="0" w:space="0" w:color="auto"/>
                        <w:bottom w:val="none" w:sz="0" w:space="0" w:color="auto"/>
                        <w:right w:val="none" w:sz="0" w:space="0" w:color="auto"/>
                      </w:divBdr>
                    </w:div>
                  </w:divsChild>
                </w:div>
                <w:div w:id="1474521245">
                  <w:marLeft w:val="0"/>
                  <w:marRight w:val="0"/>
                  <w:marTop w:val="0"/>
                  <w:marBottom w:val="0"/>
                  <w:divBdr>
                    <w:top w:val="none" w:sz="0" w:space="0" w:color="auto"/>
                    <w:left w:val="none" w:sz="0" w:space="0" w:color="auto"/>
                    <w:bottom w:val="none" w:sz="0" w:space="0" w:color="auto"/>
                    <w:right w:val="none" w:sz="0" w:space="0" w:color="auto"/>
                  </w:divBdr>
                  <w:divsChild>
                    <w:div w:id="1303922892">
                      <w:marLeft w:val="0"/>
                      <w:marRight w:val="0"/>
                      <w:marTop w:val="0"/>
                      <w:marBottom w:val="0"/>
                      <w:divBdr>
                        <w:top w:val="none" w:sz="0" w:space="0" w:color="auto"/>
                        <w:left w:val="none" w:sz="0" w:space="0" w:color="auto"/>
                        <w:bottom w:val="none" w:sz="0" w:space="0" w:color="auto"/>
                        <w:right w:val="none" w:sz="0" w:space="0" w:color="auto"/>
                      </w:divBdr>
                    </w:div>
                  </w:divsChild>
                </w:div>
                <w:div w:id="1480145194">
                  <w:marLeft w:val="0"/>
                  <w:marRight w:val="0"/>
                  <w:marTop w:val="0"/>
                  <w:marBottom w:val="0"/>
                  <w:divBdr>
                    <w:top w:val="none" w:sz="0" w:space="0" w:color="auto"/>
                    <w:left w:val="none" w:sz="0" w:space="0" w:color="auto"/>
                    <w:bottom w:val="none" w:sz="0" w:space="0" w:color="auto"/>
                    <w:right w:val="none" w:sz="0" w:space="0" w:color="auto"/>
                  </w:divBdr>
                  <w:divsChild>
                    <w:div w:id="207231904">
                      <w:marLeft w:val="0"/>
                      <w:marRight w:val="0"/>
                      <w:marTop w:val="0"/>
                      <w:marBottom w:val="0"/>
                      <w:divBdr>
                        <w:top w:val="none" w:sz="0" w:space="0" w:color="auto"/>
                        <w:left w:val="none" w:sz="0" w:space="0" w:color="auto"/>
                        <w:bottom w:val="none" w:sz="0" w:space="0" w:color="auto"/>
                        <w:right w:val="none" w:sz="0" w:space="0" w:color="auto"/>
                      </w:divBdr>
                    </w:div>
                  </w:divsChild>
                </w:div>
                <w:div w:id="1690716318">
                  <w:marLeft w:val="0"/>
                  <w:marRight w:val="0"/>
                  <w:marTop w:val="0"/>
                  <w:marBottom w:val="0"/>
                  <w:divBdr>
                    <w:top w:val="none" w:sz="0" w:space="0" w:color="auto"/>
                    <w:left w:val="none" w:sz="0" w:space="0" w:color="auto"/>
                    <w:bottom w:val="none" w:sz="0" w:space="0" w:color="auto"/>
                    <w:right w:val="none" w:sz="0" w:space="0" w:color="auto"/>
                  </w:divBdr>
                  <w:divsChild>
                    <w:div w:id="1081221749">
                      <w:marLeft w:val="0"/>
                      <w:marRight w:val="0"/>
                      <w:marTop w:val="0"/>
                      <w:marBottom w:val="0"/>
                      <w:divBdr>
                        <w:top w:val="none" w:sz="0" w:space="0" w:color="auto"/>
                        <w:left w:val="none" w:sz="0" w:space="0" w:color="auto"/>
                        <w:bottom w:val="none" w:sz="0" w:space="0" w:color="auto"/>
                        <w:right w:val="none" w:sz="0" w:space="0" w:color="auto"/>
                      </w:divBdr>
                    </w:div>
                  </w:divsChild>
                </w:div>
                <w:div w:id="1712652611">
                  <w:marLeft w:val="0"/>
                  <w:marRight w:val="0"/>
                  <w:marTop w:val="0"/>
                  <w:marBottom w:val="0"/>
                  <w:divBdr>
                    <w:top w:val="none" w:sz="0" w:space="0" w:color="auto"/>
                    <w:left w:val="none" w:sz="0" w:space="0" w:color="auto"/>
                    <w:bottom w:val="none" w:sz="0" w:space="0" w:color="auto"/>
                    <w:right w:val="none" w:sz="0" w:space="0" w:color="auto"/>
                  </w:divBdr>
                  <w:divsChild>
                    <w:div w:id="361445262">
                      <w:marLeft w:val="0"/>
                      <w:marRight w:val="0"/>
                      <w:marTop w:val="0"/>
                      <w:marBottom w:val="0"/>
                      <w:divBdr>
                        <w:top w:val="none" w:sz="0" w:space="0" w:color="auto"/>
                        <w:left w:val="none" w:sz="0" w:space="0" w:color="auto"/>
                        <w:bottom w:val="none" w:sz="0" w:space="0" w:color="auto"/>
                        <w:right w:val="none" w:sz="0" w:space="0" w:color="auto"/>
                      </w:divBdr>
                    </w:div>
                  </w:divsChild>
                </w:div>
                <w:div w:id="1736927377">
                  <w:marLeft w:val="0"/>
                  <w:marRight w:val="0"/>
                  <w:marTop w:val="0"/>
                  <w:marBottom w:val="0"/>
                  <w:divBdr>
                    <w:top w:val="none" w:sz="0" w:space="0" w:color="auto"/>
                    <w:left w:val="none" w:sz="0" w:space="0" w:color="auto"/>
                    <w:bottom w:val="none" w:sz="0" w:space="0" w:color="auto"/>
                    <w:right w:val="none" w:sz="0" w:space="0" w:color="auto"/>
                  </w:divBdr>
                  <w:divsChild>
                    <w:div w:id="1165515912">
                      <w:marLeft w:val="0"/>
                      <w:marRight w:val="0"/>
                      <w:marTop w:val="0"/>
                      <w:marBottom w:val="0"/>
                      <w:divBdr>
                        <w:top w:val="none" w:sz="0" w:space="0" w:color="auto"/>
                        <w:left w:val="none" w:sz="0" w:space="0" w:color="auto"/>
                        <w:bottom w:val="none" w:sz="0" w:space="0" w:color="auto"/>
                        <w:right w:val="none" w:sz="0" w:space="0" w:color="auto"/>
                      </w:divBdr>
                    </w:div>
                  </w:divsChild>
                </w:div>
                <w:div w:id="1798986440">
                  <w:marLeft w:val="0"/>
                  <w:marRight w:val="0"/>
                  <w:marTop w:val="0"/>
                  <w:marBottom w:val="0"/>
                  <w:divBdr>
                    <w:top w:val="none" w:sz="0" w:space="0" w:color="auto"/>
                    <w:left w:val="none" w:sz="0" w:space="0" w:color="auto"/>
                    <w:bottom w:val="none" w:sz="0" w:space="0" w:color="auto"/>
                    <w:right w:val="none" w:sz="0" w:space="0" w:color="auto"/>
                  </w:divBdr>
                  <w:divsChild>
                    <w:div w:id="265620393">
                      <w:marLeft w:val="0"/>
                      <w:marRight w:val="0"/>
                      <w:marTop w:val="0"/>
                      <w:marBottom w:val="0"/>
                      <w:divBdr>
                        <w:top w:val="none" w:sz="0" w:space="0" w:color="auto"/>
                        <w:left w:val="none" w:sz="0" w:space="0" w:color="auto"/>
                        <w:bottom w:val="none" w:sz="0" w:space="0" w:color="auto"/>
                        <w:right w:val="none" w:sz="0" w:space="0" w:color="auto"/>
                      </w:divBdr>
                    </w:div>
                  </w:divsChild>
                </w:div>
                <w:div w:id="1802386509">
                  <w:marLeft w:val="0"/>
                  <w:marRight w:val="0"/>
                  <w:marTop w:val="0"/>
                  <w:marBottom w:val="0"/>
                  <w:divBdr>
                    <w:top w:val="none" w:sz="0" w:space="0" w:color="auto"/>
                    <w:left w:val="none" w:sz="0" w:space="0" w:color="auto"/>
                    <w:bottom w:val="none" w:sz="0" w:space="0" w:color="auto"/>
                    <w:right w:val="none" w:sz="0" w:space="0" w:color="auto"/>
                  </w:divBdr>
                  <w:divsChild>
                    <w:div w:id="1718898586">
                      <w:marLeft w:val="0"/>
                      <w:marRight w:val="0"/>
                      <w:marTop w:val="0"/>
                      <w:marBottom w:val="0"/>
                      <w:divBdr>
                        <w:top w:val="none" w:sz="0" w:space="0" w:color="auto"/>
                        <w:left w:val="none" w:sz="0" w:space="0" w:color="auto"/>
                        <w:bottom w:val="none" w:sz="0" w:space="0" w:color="auto"/>
                        <w:right w:val="none" w:sz="0" w:space="0" w:color="auto"/>
                      </w:divBdr>
                    </w:div>
                  </w:divsChild>
                </w:div>
                <w:div w:id="1847938103">
                  <w:marLeft w:val="0"/>
                  <w:marRight w:val="0"/>
                  <w:marTop w:val="0"/>
                  <w:marBottom w:val="0"/>
                  <w:divBdr>
                    <w:top w:val="none" w:sz="0" w:space="0" w:color="auto"/>
                    <w:left w:val="none" w:sz="0" w:space="0" w:color="auto"/>
                    <w:bottom w:val="none" w:sz="0" w:space="0" w:color="auto"/>
                    <w:right w:val="none" w:sz="0" w:space="0" w:color="auto"/>
                  </w:divBdr>
                  <w:divsChild>
                    <w:div w:id="1132097763">
                      <w:marLeft w:val="0"/>
                      <w:marRight w:val="0"/>
                      <w:marTop w:val="0"/>
                      <w:marBottom w:val="0"/>
                      <w:divBdr>
                        <w:top w:val="none" w:sz="0" w:space="0" w:color="auto"/>
                        <w:left w:val="none" w:sz="0" w:space="0" w:color="auto"/>
                        <w:bottom w:val="none" w:sz="0" w:space="0" w:color="auto"/>
                        <w:right w:val="none" w:sz="0" w:space="0" w:color="auto"/>
                      </w:divBdr>
                    </w:div>
                  </w:divsChild>
                </w:div>
                <w:div w:id="1863666561">
                  <w:marLeft w:val="0"/>
                  <w:marRight w:val="0"/>
                  <w:marTop w:val="0"/>
                  <w:marBottom w:val="0"/>
                  <w:divBdr>
                    <w:top w:val="none" w:sz="0" w:space="0" w:color="auto"/>
                    <w:left w:val="none" w:sz="0" w:space="0" w:color="auto"/>
                    <w:bottom w:val="none" w:sz="0" w:space="0" w:color="auto"/>
                    <w:right w:val="none" w:sz="0" w:space="0" w:color="auto"/>
                  </w:divBdr>
                  <w:divsChild>
                    <w:div w:id="1282885349">
                      <w:marLeft w:val="0"/>
                      <w:marRight w:val="0"/>
                      <w:marTop w:val="0"/>
                      <w:marBottom w:val="0"/>
                      <w:divBdr>
                        <w:top w:val="none" w:sz="0" w:space="0" w:color="auto"/>
                        <w:left w:val="none" w:sz="0" w:space="0" w:color="auto"/>
                        <w:bottom w:val="none" w:sz="0" w:space="0" w:color="auto"/>
                        <w:right w:val="none" w:sz="0" w:space="0" w:color="auto"/>
                      </w:divBdr>
                    </w:div>
                  </w:divsChild>
                </w:div>
                <w:div w:id="1936329833">
                  <w:marLeft w:val="0"/>
                  <w:marRight w:val="0"/>
                  <w:marTop w:val="0"/>
                  <w:marBottom w:val="0"/>
                  <w:divBdr>
                    <w:top w:val="none" w:sz="0" w:space="0" w:color="auto"/>
                    <w:left w:val="none" w:sz="0" w:space="0" w:color="auto"/>
                    <w:bottom w:val="none" w:sz="0" w:space="0" w:color="auto"/>
                    <w:right w:val="none" w:sz="0" w:space="0" w:color="auto"/>
                  </w:divBdr>
                  <w:divsChild>
                    <w:div w:id="272127118">
                      <w:marLeft w:val="0"/>
                      <w:marRight w:val="0"/>
                      <w:marTop w:val="0"/>
                      <w:marBottom w:val="0"/>
                      <w:divBdr>
                        <w:top w:val="none" w:sz="0" w:space="0" w:color="auto"/>
                        <w:left w:val="none" w:sz="0" w:space="0" w:color="auto"/>
                        <w:bottom w:val="none" w:sz="0" w:space="0" w:color="auto"/>
                        <w:right w:val="none" w:sz="0" w:space="0" w:color="auto"/>
                      </w:divBdr>
                    </w:div>
                  </w:divsChild>
                </w:div>
                <w:div w:id="2056811618">
                  <w:marLeft w:val="0"/>
                  <w:marRight w:val="0"/>
                  <w:marTop w:val="0"/>
                  <w:marBottom w:val="0"/>
                  <w:divBdr>
                    <w:top w:val="none" w:sz="0" w:space="0" w:color="auto"/>
                    <w:left w:val="none" w:sz="0" w:space="0" w:color="auto"/>
                    <w:bottom w:val="none" w:sz="0" w:space="0" w:color="auto"/>
                    <w:right w:val="none" w:sz="0" w:space="0" w:color="auto"/>
                  </w:divBdr>
                  <w:divsChild>
                    <w:div w:id="871071212">
                      <w:marLeft w:val="0"/>
                      <w:marRight w:val="0"/>
                      <w:marTop w:val="0"/>
                      <w:marBottom w:val="0"/>
                      <w:divBdr>
                        <w:top w:val="none" w:sz="0" w:space="0" w:color="auto"/>
                        <w:left w:val="none" w:sz="0" w:space="0" w:color="auto"/>
                        <w:bottom w:val="none" w:sz="0" w:space="0" w:color="auto"/>
                        <w:right w:val="none" w:sz="0" w:space="0" w:color="auto"/>
                      </w:divBdr>
                    </w:div>
                  </w:divsChild>
                </w:div>
                <w:div w:id="2068138108">
                  <w:marLeft w:val="0"/>
                  <w:marRight w:val="0"/>
                  <w:marTop w:val="0"/>
                  <w:marBottom w:val="0"/>
                  <w:divBdr>
                    <w:top w:val="none" w:sz="0" w:space="0" w:color="auto"/>
                    <w:left w:val="none" w:sz="0" w:space="0" w:color="auto"/>
                    <w:bottom w:val="none" w:sz="0" w:space="0" w:color="auto"/>
                    <w:right w:val="none" w:sz="0" w:space="0" w:color="auto"/>
                  </w:divBdr>
                  <w:divsChild>
                    <w:div w:id="1569729168">
                      <w:marLeft w:val="0"/>
                      <w:marRight w:val="0"/>
                      <w:marTop w:val="0"/>
                      <w:marBottom w:val="0"/>
                      <w:divBdr>
                        <w:top w:val="none" w:sz="0" w:space="0" w:color="auto"/>
                        <w:left w:val="none" w:sz="0" w:space="0" w:color="auto"/>
                        <w:bottom w:val="none" w:sz="0" w:space="0" w:color="auto"/>
                        <w:right w:val="none" w:sz="0" w:space="0" w:color="auto"/>
                      </w:divBdr>
                    </w:div>
                  </w:divsChild>
                </w:div>
                <w:div w:id="2143111292">
                  <w:marLeft w:val="0"/>
                  <w:marRight w:val="0"/>
                  <w:marTop w:val="0"/>
                  <w:marBottom w:val="0"/>
                  <w:divBdr>
                    <w:top w:val="none" w:sz="0" w:space="0" w:color="auto"/>
                    <w:left w:val="none" w:sz="0" w:space="0" w:color="auto"/>
                    <w:bottom w:val="none" w:sz="0" w:space="0" w:color="auto"/>
                    <w:right w:val="none" w:sz="0" w:space="0" w:color="auto"/>
                  </w:divBdr>
                  <w:divsChild>
                    <w:div w:id="185633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27791">
          <w:marLeft w:val="0"/>
          <w:marRight w:val="0"/>
          <w:marTop w:val="0"/>
          <w:marBottom w:val="0"/>
          <w:divBdr>
            <w:top w:val="none" w:sz="0" w:space="0" w:color="auto"/>
            <w:left w:val="none" w:sz="0" w:space="0" w:color="auto"/>
            <w:bottom w:val="none" w:sz="0" w:space="0" w:color="auto"/>
            <w:right w:val="none" w:sz="0" w:space="0" w:color="auto"/>
          </w:divBdr>
        </w:div>
      </w:divsChild>
    </w:div>
    <w:div w:id="320500100">
      <w:bodyDiv w:val="1"/>
      <w:marLeft w:val="0"/>
      <w:marRight w:val="0"/>
      <w:marTop w:val="0"/>
      <w:marBottom w:val="0"/>
      <w:divBdr>
        <w:top w:val="none" w:sz="0" w:space="0" w:color="auto"/>
        <w:left w:val="none" w:sz="0" w:space="0" w:color="auto"/>
        <w:bottom w:val="none" w:sz="0" w:space="0" w:color="auto"/>
        <w:right w:val="none" w:sz="0" w:space="0" w:color="auto"/>
      </w:divBdr>
      <w:divsChild>
        <w:div w:id="22480880">
          <w:marLeft w:val="0"/>
          <w:marRight w:val="0"/>
          <w:marTop w:val="0"/>
          <w:marBottom w:val="0"/>
          <w:divBdr>
            <w:top w:val="none" w:sz="0" w:space="0" w:color="auto"/>
            <w:left w:val="none" w:sz="0" w:space="0" w:color="auto"/>
            <w:bottom w:val="none" w:sz="0" w:space="0" w:color="auto"/>
            <w:right w:val="none" w:sz="0" w:space="0" w:color="auto"/>
          </w:divBdr>
        </w:div>
        <w:div w:id="126048636">
          <w:marLeft w:val="0"/>
          <w:marRight w:val="0"/>
          <w:marTop w:val="0"/>
          <w:marBottom w:val="0"/>
          <w:divBdr>
            <w:top w:val="none" w:sz="0" w:space="0" w:color="auto"/>
            <w:left w:val="none" w:sz="0" w:space="0" w:color="auto"/>
            <w:bottom w:val="none" w:sz="0" w:space="0" w:color="auto"/>
            <w:right w:val="none" w:sz="0" w:space="0" w:color="auto"/>
          </w:divBdr>
          <w:divsChild>
            <w:div w:id="2044206879">
              <w:marLeft w:val="0"/>
              <w:marRight w:val="0"/>
              <w:marTop w:val="30"/>
              <w:marBottom w:val="30"/>
              <w:divBdr>
                <w:top w:val="none" w:sz="0" w:space="0" w:color="auto"/>
                <w:left w:val="none" w:sz="0" w:space="0" w:color="auto"/>
                <w:bottom w:val="none" w:sz="0" w:space="0" w:color="auto"/>
                <w:right w:val="none" w:sz="0" w:space="0" w:color="auto"/>
              </w:divBdr>
              <w:divsChild>
                <w:div w:id="128403568">
                  <w:marLeft w:val="0"/>
                  <w:marRight w:val="0"/>
                  <w:marTop w:val="0"/>
                  <w:marBottom w:val="0"/>
                  <w:divBdr>
                    <w:top w:val="none" w:sz="0" w:space="0" w:color="auto"/>
                    <w:left w:val="none" w:sz="0" w:space="0" w:color="auto"/>
                    <w:bottom w:val="none" w:sz="0" w:space="0" w:color="auto"/>
                    <w:right w:val="none" w:sz="0" w:space="0" w:color="auto"/>
                  </w:divBdr>
                  <w:divsChild>
                    <w:div w:id="816579287">
                      <w:marLeft w:val="0"/>
                      <w:marRight w:val="0"/>
                      <w:marTop w:val="0"/>
                      <w:marBottom w:val="0"/>
                      <w:divBdr>
                        <w:top w:val="none" w:sz="0" w:space="0" w:color="auto"/>
                        <w:left w:val="none" w:sz="0" w:space="0" w:color="auto"/>
                        <w:bottom w:val="none" w:sz="0" w:space="0" w:color="auto"/>
                        <w:right w:val="none" w:sz="0" w:space="0" w:color="auto"/>
                      </w:divBdr>
                    </w:div>
                  </w:divsChild>
                </w:div>
                <w:div w:id="200292623">
                  <w:marLeft w:val="0"/>
                  <w:marRight w:val="0"/>
                  <w:marTop w:val="0"/>
                  <w:marBottom w:val="0"/>
                  <w:divBdr>
                    <w:top w:val="none" w:sz="0" w:space="0" w:color="auto"/>
                    <w:left w:val="none" w:sz="0" w:space="0" w:color="auto"/>
                    <w:bottom w:val="none" w:sz="0" w:space="0" w:color="auto"/>
                    <w:right w:val="none" w:sz="0" w:space="0" w:color="auto"/>
                  </w:divBdr>
                  <w:divsChild>
                    <w:div w:id="1677269744">
                      <w:marLeft w:val="0"/>
                      <w:marRight w:val="0"/>
                      <w:marTop w:val="0"/>
                      <w:marBottom w:val="0"/>
                      <w:divBdr>
                        <w:top w:val="none" w:sz="0" w:space="0" w:color="auto"/>
                        <w:left w:val="none" w:sz="0" w:space="0" w:color="auto"/>
                        <w:bottom w:val="none" w:sz="0" w:space="0" w:color="auto"/>
                        <w:right w:val="none" w:sz="0" w:space="0" w:color="auto"/>
                      </w:divBdr>
                    </w:div>
                  </w:divsChild>
                </w:div>
                <w:div w:id="218250224">
                  <w:marLeft w:val="0"/>
                  <w:marRight w:val="0"/>
                  <w:marTop w:val="0"/>
                  <w:marBottom w:val="0"/>
                  <w:divBdr>
                    <w:top w:val="none" w:sz="0" w:space="0" w:color="auto"/>
                    <w:left w:val="none" w:sz="0" w:space="0" w:color="auto"/>
                    <w:bottom w:val="none" w:sz="0" w:space="0" w:color="auto"/>
                    <w:right w:val="none" w:sz="0" w:space="0" w:color="auto"/>
                  </w:divBdr>
                  <w:divsChild>
                    <w:div w:id="266163359">
                      <w:marLeft w:val="0"/>
                      <w:marRight w:val="0"/>
                      <w:marTop w:val="0"/>
                      <w:marBottom w:val="0"/>
                      <w:divBdr>
                        <w:top w:val="none" w:sz="0" w:space="0" w:color="auto"/>
                        <w:left w:val="none" w:sz="0" w:space="0" w:color="auto"/>
                        <w:bottom w:val="none" w:sz="0" w:space="0" w:color="auto"/>
                        <w:right w:val="none" w:sz="0" w:space="0" w:color="auto"/>
                      </w:divBdr>
                    </w:div>
                    <w:div w:id="2027781499">
                      <w:marLeft w:val="0"/>
                      <w:marRight w:val="0"/>
                      <w:marTop w:val="0"/>
                      <w:marBottom w:val="0"/>
                      <w:divBdr>
                        <w:top w:val="none" w:sz="0" w:space="0" w:color="auto"/>
                        <w:left w:val="none" w:sz="0" w:space="0" w:color="auto"/>
                        <w:bottom w:val="none" w:sz="0" w:space="0" w:color="auto"/>
                        <w:right w:val="none" w:sz="0" w:space="0" w:color="auto"/>
                      </w:divBdr>
                    </w:div>
                  </w:divsChild>
                </w:div>
                <w:div w:id="320156847">
                  <w:marLeft w:val="0"/>
                  <w:marRight w:val="0"/>
                  <w:marTop w:val="0"/>
                  <w:marBottom w:val="0"/>
                  <w:divBdr>
                    <w:top w:val="none" w:sz="0" w:space="0" w:color="auto"/>
                    <w:left w:val="none" w:sz="0" w:space="0" w:color="auto"/>
                    <w:bottom w:val="none" w:sz="0" w:space="0" w:color="auto"/>
                    <w:right w:val="none" w:sz="0" w:space="0" w:color="auto"/>
                  </w:divBdr>
                  <w:divsChild>
                    <w:div w:id="310255438">
                      <w:marLeft w:val="0"/>
                      <w:marRight w:val="0"/>
                      <w:marTop w:val="0"/>
                      <w:marBottom w:val="0"/>
                      <w:divBdr>
                        <w:top w:val="none" w:sz="0" w:space="0" w:color="auto"/>
                        <w:left w:val="none" w:sz="0" w:space="0" w:color="auto"/>
                        <w:bottom w:val="none" w:sz="0" w:space="0" w:color="auto"/>
                        <w:right w:val="none" w:sz="0" w:space="0" w:color="auto"/>
                      </w:divBdr>
                    </w:div>
                  </w:divsChild>
                </w:div>
                <w:div w:id="513693671">
                  <w:marLeft w:val="0"/>
                  <w:marRight w:val="0"/>
                  <w:marTop w:val="0"/>
                  <w:marBottom w:val="0"/>
                  <w:divBdr>
                    <w:top w:val="none" w:sz="0" w:space="0" w:color="auto"/>
                    <w:left w:val="none" w:sz="0" w:space="0" w:color="auto"/>
                    <w:bottom w:val="none" w:sz="0" w:space="0" w:color="auto"/>
                    <w:right w:val="none" w:sz="0" w:space="0" w:color="auto"/>
                  </w:divBdr>
                  <w:divsChild>
                    <w:div w:id="56708806">
                      <w:marLeft w:val="0"/>
                      <w:marRight w:val="0"/>
                      <w:marTop w:val="0"/>
                      <w:marBottom w:val="0"/>
                      <w:divBdr>
                        <w:top w:val="none" w:sz="0" w:space="0" w:color="auto"/>
                        <w:left w:val="none" w:sz="0" w:space="0" w:color="auto"/>
                        <w:bottom w:val="none" w:sz="0" w:space="0" w:color="auto"/>
                        <w:right w:val="none" w:sz="0" w:space="0" w:color="auto"/>
                      </w:divBdr>
                    </w:div>
                  </w:divsChild>
                </w:div>
                <w:div w:id="584608537">
                  <w:marLeft w:val="0"/>
                  <w:marRight w:val="0"/>
                  <w:marTop w:val="0"/>
                  <w:marBottom w:val="0"/>
                  <w:divBdr>
                    <w:top w:val="none" w:sz="0" w:space="0" w:color="auto"/>
                    <w:left w:val="none" w:sz="0" w:space="0" w:color="auto"/>
                    <w:bottom w:val="none" w:sz="0" w:space="0" w:color="auto"/>
                    <w:right w:val="none" w:sz="0" w:space="0" w:color="auto"/>
                  </w:divBdr>
                  <w:divsChild>
                    <w:div w:id="200481591">
                      <w:marLeft w:val="0"/>
                      <w:marRight w:val="0"/>
                      <w:marTop w:val="0"/>
                      <w:marBottom w:val="0"/>
                      <w:divBdr>
                        <w:top w:val="none" w:sz="0" w:space="0" w:color="auto"/>
                        <w:left w:val="none" w:sz="0" w:space="0" w:color="auto"/>
                        <w:bottom w:val="none" w:sz="0" w:space="0" w:color="auto"/>
                        <w:right w:val="none" w:sz="0" w:space="0" w:color="auto"/>
                      </w:divBdr>
                    </w:div>
                    <w:div w:id="841968191">
                      <w:marLeft w:val="0"/>
                      <w:marRight w:val="0"/>
                      <w:marTop w:val="0"/>
                      <w:marBottom w:val="0"/>
                      <w:divBdr>
                        <w:top w:val="none" w:sz="0" w:space="0" w:color="auto"/>
                        <w:left w:val="none" w:sz="0" w:space="0" w:color="auto"/>
                        <w:bottom w:val="none" w:sz="0" w:space="0" w:color="auto"/>
                        <w:right w:val="none" w:sz="0" w:space="0" w:color="auto"/>
                      </w:divBdr>
                    </w:div>
                  </w:divsChild>
                </w:div>
                <w:div w:id="601110473">
                  <w:marLeft w:val="0"/>
                  <w:marRight w:val="0"/>
                  <w:marTop w:val="0"/>
                  <w:marBottom w:val="0"/>
                  <w:divBdr>
                    <w:top w:val="none" w:sz="0" w:space="0" w:color="auto"/>
                    <w:left w:val="none" w:sz="0" w:space="0" w:color="auto"/>
                    <w:bottom w:val="none" w:sz="0" w:space="0" w:color="auto"/>
                    <w:right w:val="none" w:sz="0" w:space="0" w:color="auto"/>
                  </w:divBdr>
                  <w:divsChild>
                    <w:div w:id="230777660">
                      <w:marLeft w:val="0"/>
                      <w:marRight w:val="0"/>
                      <w:marTop w:val="0"/>
                      <w:marBottom w:val="0"/>
                      <w:divBdr>
                        <w:top w:val="none" w:sz="0" w:space="0" w:color="auto"/>
                        <w:left w:val="none" w:sz="0" w:space="0" w:color="auto"/>
                        <w:bottom w:val="none" w:sz="0" w:space="0" w:color="auto"/>
                        <w:right w:val="none" w:sz="0" w:space="0" w:color="auto"/>
                      </w:divBdr>
                    </w:div>
                    <w:div w:id="1660886408">
                      <w:marLeft w:val="0"/>
                      <w:marRight w:val="0"/>
                      <w:marTop w:val="0"/>
                      <w:marBottom w:val="0"/>
                      <w:divBdr>
                        <w:top w:val="none" w:sz="0" w:space="0" w:color="auto"/>
                        <w:left w:val="none" w:sz="0" w:space="0" w:color="auto"/>
                        <w:bottom w:val="none" w:sz="0" w:space="0" w:color="auto"/>
                        <w:right w:val="none" w:sz="0" w:space="0" w:color="auto"/>
                      </w:divBdr>
                    </w:div>
                  </w:divsChild>
                </w:div>
                <w:div w:id="614599433">
                  <w:marLeft w:val="0"/>
                  <w:marRight w:val="0"/>
                  <w:marTop w:val="0"/>
                  <w:marBottom w:val="0"/>
                  <w:divBdr>
                    <w:top w:val="none" w:sz="0" w:space="0" w:color="auto"/>
                    <w:left w:val="none" w:sz="0" w:space="0" w:color="auto"/>
                    <w:bottom w:val="none" w:sz="0" w:space="0" w:color="auto"/>
                    <w:right w:val="none" w:sz="0" w:space="0" w:color="auto"/>
                  </w:divBdr>
                  <w:divsChild>
                    <w:div w:id="562957647">
                      <w:marLeft w:val="0"/>
                      <w:marRight w:val="0"/>
                      <w:marTop w:val="0"/>
                      <w:marBottom w:val="0"/>
                      <w:divBdr>
                        <w:top w:val="none" w:sz="0" w:space="0" w:color="auto"/>
                        <w:left w:val="none" w:sz="0" w:space="0" w:color="auto"/>
                        <w:bottom w:val="none" w:sz="0" w:space="0" w:color="auto"/>
                        <w:right w:val="none" w:sz="0" w:space="0" w:color="auto"/>
                      </w:divBdr>
                    </w:div>
                    <w:div w:id="793252572">
                      <w:marLeft w:val="0"/>
                      <w:marRight w:val="0"/>
                      <w:marTop w:val="0"/>
                      <w:marBottom w:val="0"/>
                      <w:divBdr>
                        <w:top w:val="none" w:sz="0" w:space="0" w:color="auto"/>
                        <w:left w:val="none" w:sz="0" w:space="0" w:color="auto"/>
                        <w:bottom w:val="none" w:sz="0" w:space="0" w:color="auto"/>
                        <w:right w:val="none" w:sz="0" w:space="0" w:color="auto"/>
                      </w:divBdr>
                    </w:div>
                  </w:divsChild>
                </w:div>
                <w:div w:id="876239063">
                  <w:marLeft w:val="0"/>
                  <w:marRight w:val="0"/>
                  <w:marTop w:val="0"/>
                  <w:marBottom w:val="0"/>
                  <w:divBdr>
                    <w:top w:val="none" w:sz="0" w:space="0" w:color="auto"/>
                    <w:left w:val="none" w:sz="0" w:space="0" w:color="auto"/>
                    <w:bottom w:val="none" w:sz="0" w:space="0" w:color="auto"/>
                    <w:right w:val="none" w:sz="0" w:space="0" w:color="auto"/>
                  </w:divBdr>
                  <w:divsChild>
                    <w:div w:id="1219636018">
                      <w:marLeft w:val="0"/>
                      <w:marRight w:val="0"/>
                      <w:marTop w:val="0"/>
                      <w:marBottom w:val="0"/>
                      <w:divBdr>
                        <w:top w:val="none" w:sz="0" w:space="0" w:color="auto"/>
                        <w:left w:val="none" w:sz="0" w:space="0" w:color="auto"/>
                        <w:bottom w:val="none" w:sz="0" w:space="0" w:color="auto"/>
                        <w:right w:val="none" w:sz="0" w:space="0" w:color="auto"/>
                      </w:divBdr>
                    </w:div>
                  </w:divsChild>
                </w:div>
                <w:div w:id="899940455">
                  <w:marLeft w:val="0"/>
                  <w:marRight w:val="0"/>
                  <w:marTop w:val="0"/>
                  <w:marBottom w:val="0"/>
                  <w:divBdr>
                    <w:top w:val="none" w:sz="0" w:space="0" w:color="auto"/>
                    <w:left w:val="none" w:sz="0" w:space="0" w:color="auto"/>
                    <w:bottom w:val="none" w:sz="0" w:space="0" w:color="auto"/>
                    <w:right w:val="none" w:sz="0" w:space="0" w:color="auto"/>
                  </w:divBdr>
                  <w:divsChild>
                    <w:div w:id="698969634">
                      <w:marLeft w:val="0"/>
                      <w:marRight w:val="0"/>
                      <w:marTop w:val="0"/>
                      <w:marBottom w:val="0"/>
                      <w:divBdr>
                        <w:top w:val="none" w:sz="0" w:space="0" w:color="auto"/>
                        <w:left w:val="none" w:sz="0" w:space="0" w:color="auto"/>
                        <w:bottom w:val="none" w:sz="0" w:space="0" w:color="auto"/>
                        <w:right w:val="none" w:sz="0" w:space="0" w:color="auto"/>
                      </w:divBdr>
                    </w:div>
                    <w:div w:id="1035690736">
                      <w:marLeft w:val="0"/>
                      <w:marRight w:val="0"/>
                      <w:marTop w:val="0"/>
                      <w:marBottom w:val="0"/>
                      <w:divBdr>
                        <w:top w:val="none" w:sz="0" w:space="0" w:color="auto"/>
                        <w:left w:val="none" w:sz="0" w:space="0" w:color="auto"/>
                        <w:bottom w:val="none" w:sz="0" w:space="0" w:color="auto"/>
                        <w:right w:val="none" w:sz="0" w:space="0" w:color="auto"/>
                      </w:divBdr>
                    </w:div>
                  </w:divsChild>
                </w:div>
                <w:div w:id="949972820">
                  <w:marLeft w:val="0"/>
                  <w:marRight w:val="0"/>
                  <w:marTop w:val="0"/>
                  <w:marBottom w:val="0"/>
                  <w:divBdr>
                    <w:top w:val="none" w:sz="0" w:space="0" w:color="auto"/>
                    <w:left w:val="none" w:sz="0" w:space="0" w:color="auto"/>
                    <w:bottom w:val="none" w:sz="0" w:space="0" w:color="auto"/>
                    <w:right w:val="none" w:sz="0" w:space="0" w:color="auto"/>
                  </w:divBdr>
                  <w:divsChild>
                    <w:div w:id="499541120">
                      <w:marLeft w:val="0"/>
                      <w:marRight w:val="0"/>
                      <w:marTop w:val="0"/>
                      <w:marBottom w:val="0"/>
                      <w:divBdr>
                        <w:top w:val="none" w:sz="0" w:space="0" w:color="auto"/>
                        <w:left w:val="none" w:sz="0" w:space="0" w:color="auto"/>
                        <w:bottom w:val="none" w:sz="0" w:space="0" w:color="auto"/>
                        <w:right w:val="none" w:sz="0" w:space="0" w:color="auto"/>
                      </w:divBdr>
                    </w:div>
                    <w:div w:id="696388467">
                      <w:marLeft w:val="0"/>
                      <w:marRight w:val="0"/>
                      <w:marTop w:val="0"/>
                      <w:marBottom w:val="0"/>
                      <w:divBdr>
                        <w:top w:val="none" w:sz="0" w:space="0" w:color="auto"/>
                        <w:left w:val="none" w:sz="0" w:space="0" w:color="auto"/>
                        <w:bottom w:val="none" w:sz="0" w:space="0" w:color="auto"/>
                        <w:right w:val="none" w:sz="0" w:space="0" w:color="auto"/>
                      </w:divBdr>
                    </w:div>
                  </w:divsChild>
                </w:div>
                <w:div w:id="1082680748">
                  <w:marLeft w:val="0"/>
                  <w:marRight w:val="0"/>
                  <w:marTop w:val="0"/>
                  <w:marBottom w:val="0"/>
                  <w:divBdr>
                    <w:top w:val="none" w:sz="0" w:space="0" w:color="auto"/>
                    <w:left w:val="none" w:sz="0" w:space="0" w:color="auto"/>
                    <w:bottom w:val="none" w:sz="0" w:space="0" w:color="auto"/>
                    <w:right w:val="none" w:sz="0" w:space="0" w:color="auto"/>
                  </w:divBdr>
                  <w:divsChild>
                    <w:div w:id="361707365">
                      <w:marLeft w:val="0"/>
                      <w:marRight w:val="0"/>
                      <w:marTop w:val="0"/>
                      <w:marBottom w:val="0"/>
                      <w:divBdr>
                        <w:top w:val="none" w:sz="0" w:space="0" w:color="auto"/>
                        <w:left w:val="none" w:sz="0" w:space="0" w:color="auto"/>
                        <w:bottom w:val="none" w:sz="0" w:space="0" w:color="auto"/>
                        <w:right w:val="none" w:sz="0" w:space="0" w:color="auto"/>
                      </w:divBdr>
                    </w:div>
                    <w:div w:id="929392414">
                      <w:marLeft w:val="0"/>
                      <w:marRight w:val="0"/>
                      <w:marTop w:val="0"/>
                      <w:marBottom w:val="0"/>
                      <w:divBdr>
                        <w:top w:val="none" w:sz="0" w:space="0" w:color="auto"/>
                        <w:left w:val="none" w:sz="0" w:space="0" w:color="auto"/>
                        <w:bottom w:val="none" w:sz="0" w:space="0" w:color="auto"/>
                        <w:right w:val="none" w:sz="0" w:space="0" w:color="auto"/>
                      </w:divBdr>
                    </w:div>
                  </w:divsChild>
                </w:div>
                <w:div w:id="1170096835">
                  <w:marLeft w:val="0"/>
                  <w:marRight w:val="0"/>
                  <w:marTop w:val="0"/>
                  <w:marBottom w:val="0"/>
                  <w:divBdr>
                    <w:top w:val="none" w:sz="0" w:space="0" w:color="auto"/>
                    <w:left w:val="none" w:sz="0" w:space="0" w:color="auto"/>
                    <w:bottom w:val="none" w:sz="0" w:space="0" w:color="auto"/>
                    <w:right w:val="none" w:sz="0" w:space="0" w:color="auto"/>
                  </w:divBdr>
                  <w:divsChild>
                    <w:div w:id="354617334">
                      <w:marLeft w:val="0"/>
                      <w:marRight w:val="0"/>
                      <w:marTop w:val="0"/>
                      <w:marBottom w:val="0"/>
                      <w:divBdr>
                        <w:top w:val="none" w:sz="0" w:space="0" w:color="auto"/>
                        <w:left w:val="none" w:sz="0" w:space="0" w:color="auto"/>
                        <w:bottom w:val="none" w:sz="0" w:space="0" w:color="auto"/>
                        <w:right w:val="none" w:sz="0" w:space="0" w:color="auto"/>
                      </w:divBdr>
                    </w:div>
                    <w:div w:id="1865435673">
                      <w:marLeft w:val="0"/>
                      <w:marRight w:val="0"/>
                      <w:marTop w:val="0"/>
                      <w:marBottom w:val="0"/>
                      <w:divBdr>
                        <w:top w:val="none" w:sz="0" w:space="0" w:color="auto"/>
                        <w:left w:val="none" w:sz="0" w:space="0" w:color="auto"/>
                        <w:bottom w:val="none" w:sz="0" w:space="0" w:color="auto"/>
                        <w:right w:val="none" w:sz="0" w:space="0" w:color="auto"/>
                      </w:divBdr>
                    </w:div>
                  </w:divsChild>
                </w:div>
                <w:div w:id="1231235464">
                  <w:marLeft w:val="0"/>
                  <w:marRight w:val="0"/>
                  <w:marTop w:val="0"/>
                  <w:marBottom w:val="0"/>
                  <w:divBdr>
                    <w:top w:val="none" w:sz="0" w:space="0" w:color="auto"/>
                    <w:left w:val="none" w:sz="0" w:space="0" w:color="auto"/>
                    <w:bottom w:val="none" w:sz="0" w:space="0" w:color="auto"/>
                    <w:right w:val="none" w:sz="0" w:space="0" w:color="auto"/>
                  </w:divBdr>
                  <w:divsChild>
                    <w:div w:id="607854469">
                      <w:marLeft w:val="0"/>
                      <w:marRight w:val="0"/>
                      <w:marTop w:val="0"/>
                      <w:marBottom w:val="0"/>
                      <w:divBdr>
                        <w:top w:val="none" w:sz="0" w:space="0" w:color="auto"/>
                        <w:left w:val="none" w:sz="0" w:space="0" w:color="auto"/>
                        <w:bottom w:val="none" w:sz="0" w:space="0" w:color="auto"/>
                        <w:right w:val="none" w:sz="0" w:space="0" w:color="auto"/>
                      </w:divBdr>
                    </w:div>
                    <w:div w:id="1070351152">
                      <w:marLeft w:val="0"/>
                      <w:marRight w:val="0"/>
                      <w:marTop w:val="0"/>
                      <w:marBottom w:val="0"/>
                      <w:divBdr>
                        <w:top w:val="none" w:sz="0" w:space="0" w:color="auto"/>
                        <w:left w:val="none" w:sz="0" w:space="0" w:color="auto"/>
                        <w:bottom w:val="none" w:sz="0" w:space="0" w:color="auto"/>
                        <w:right w:val="none" w:sz="0" w:space="0" w:color="auto"/>
                      </w:divBdr>
                    </w:div>
                  </w:divsChild>
                </w:div>
                <w:div w:id="1271471882">
                  <w:marLeft w:val="0"/>
                  <w:marRight w:val="0"/>
                  <w:marTop w:val="0"/>
                  <w:marBottom w:val="0"/>
                  <w:divBdr>
                    <w:top w:val="none" w:sz="0" w:space="0" w:color="auto"/>
                    <w:left w:val="none" w:sz="0" w:space="0" w:color="auto"/>
                    <w:bottom w:val="none" w:sz="0" w:space="0" w:color="auto"/>
                    <w:right w:val="none" w:sz="0" w:space="0" w:color="auto"/>
                  </w:divBdr>
                  <w:divsChild>
                    <w:div w:id="1039208271">
                      <w:marLeft w:val="0"/>
                      <w:marRight w:val="0"/>
                      <w:marTop w:val="0"/>
                      <w:marBottom w:val="0"/>
                      <w:divBdr>
                        <w:top w:val="none" w:sz="0" w:space="0" w:color="auto"/>
                        <w:left w:val="none" w:sz="0" w:space="0" w:color="auto"/>
                        <w:bottom w:val="none" w:sz="0" w:space="0" w:color="auto"/>
                        <w:right w:val="none" w:sz="0" w:space="0" w:color="auto"/>
                      </w:divBdr>
                    </w:div>
                  </w:divsChild>
                </w:div>
                <w:div w:id="1323587791">
                  <w:marLeft w:val="0"/>
                  <w:marRight w:val="0"/>
                  <w:marTop w:val="0"/>
                  <w:marBottom w:val="0"/>
                  <w:divBdr>
                    <w:top w:val="none" w:sz="0" w:space="0" w:color="auto"/>
                    <w:left w:val="none" w:sz="0" w:space="0" w:color="auto"/>
                    <w:bottom w:val="none" w:sz="0" w:space="0" w:color="auto"/>
                    <w:right w:val="none" w:sz="0" w:space="0" w:color="auto"/>
                  </w:divBdr>
                  <w:divsChild>
                    <w:div w:id="954097159">
                      <w:marLeft w:val="0"/>
                      <w:marRight w:val="0"/>
                      <w:marTop w:val="0"/>
                      <w:marBottom w:val="0"/>
                      <w:divBdr>
                        <w:top w:val="none" w:sz="0" w:space="0" w:color="auto"/>
                        <w:left w:val="none" w:sz="0" w:space="0" w:color="auto"/>
                        <w:bottom w:val="none" w:sz="0" w:space="0" w:color="auto"/>
                        <w:right w:val="none" w:sz="0" w:space="0" w:color="auto"/>
                      </w:divBdr>
                    </w:div>
                  </w:divsChild>
                </w:div>
                <w:div w:id="1356348816">
                  <w:marLeft w:val="0"/>
                  <w:marRight w:val="0"/>
                  <w:marTop w:val="0"/>
                  <w:marBottom w:val="0"/>
                  <w:divBdr>
                    <w:top w:val="none" w:sz="0" w:space="0" w:color="auto"/>
                    <w:left w:val="none" w:sz="0" w:space="0" w:color="auto"/>
                    <w:bottom w:val="none" w:sz="0" w:space="0" w:color="auto"/>
                    <w:right w:val="none" w:sz="0" w:space="0" w:color="auto"/>
                  </w:divBdr>
                  <w:divsChild>
                    <w:div w:id="311758480">
                      <w:marLeft w:val="0"/>
                      <w:marRight w:val="0"/>
                      <w:marTop w:val="0"/>
                      <w:marBottom w:val="0"/>
                      <w:divBdr>
                        <w:top w:val="none" w:sz="0" w:space="0" w:color="auto"/>
                        <w:left w:val="none" w:sz="0" w:space="0" w:color="auto"/>
                        <w:bottom w:val="none" w:sz="0" w:space="0" w:color="auto"/>
                        <w:right w:val="none" w:sz="0" w:space="0" w:color="auto"/>
                      </w:divBdr>
                    </w:div>
                    <w:div w:id="783036638">
                      <w:marLeft w:val="0"/>
                      <w:marRight w:val="0"/>
                      <w:marTop w:val="0"/>
                      <w:marBottom w:val="0"/>
                      <w:divBdr>
                        <w:top w:val="none" w:sz="0" w:space="0" w:color="auto"/>
                        <w:left w:val="none" w:sz="0" w:space="0" w:color="auto"/>
                        <w:bottom w:val="none" w:sz="0" w:space="0" w:color="auto"/>
                        <w:right w:val="none" w:sz="0" w:space="0" w:color="auto"/>
                      </w:divBdr>
                    </w:div>
                  </w:divsChild>
                </w:div>
                <w:div w:id="1495340146">
                  <w:marLeft w:val="0"/>
                  <w:marRight w:val="0"/>
                  <w:marTop w:val="0"/>
                  <w:marBottom w:val="0"/>
                  <w:divBdr>
                    <w:top w:val="none" w:sz="0" w:space="0" w:color="auto"/>
                    <w:left w:val="none" w:sz="0" w:space="0" w:color="auto"/>
                    <w:bottom w:val="none" w:sz="0" w:space="0" w:color="auto"/>
                    <w:right w:val="none" w:sz="0" w:space="0" w:color="auto"/>
                  </w:divBdr>
                  <w:divsChild>
                    <w:div w:id="607153415">
                      <w:marLeft w:val="0"/>
                      <w:marRight w:val="0"/>
                      <w:marTop w:val="0"/>
                      <w:marBottom w:val="0"/>
                      <w:divBdr>
                        <w:top w:val="none" w:sz="0" w:space="0" w:color="auto"/>
                        <w:left w:val="none" w:sz="0" w:space="0" w:color="auto"/>
                        <w:bottom w:val="none" w:sz="0" w:space="0" w:color="auto"/>
                        <w:right w:val="none" w:sz="0" w:space="0" w:color="auto"/>
                      </w:divBdr>
                    </w:div>
                    <w:div w:id="1565750278">
                      <w:marLeft w:val="0"/>
                      <w:marRight w:val="0"/>
                      <w:marTop w:val="0"/>
                      <w:marBottom w:val="0"/>
                      <w:divBdr>
                        <w:top w:val="none" w:sz="0" w:space="0" w:color="auto"/>
                        <w:left w:val="none" w:sz="0" w:space="0" w:color="auto"/>
                        <w:bottom w:val="none" w:sz="0" w:space="0" w:color="auto"/>
                        <w:right w:val="none" w:sz="0" w:space="0" w:color="auto"/>
                      </w:divBdr>
                    </w:div>
                  </w:divsChild>
                </w:div>
                <w:div w:id="1507598976">
                  <w:marLeft w:val="0"/>
                  <w:marRight w:val="0"/>
                  <w:marTop w:val="0"/>
                  <w:marBottom w:val="0"/>
                  <w:divBdr>
                    <w:top w:val="none" w:sz="0" w:space="0" w:color="auto"/>
                    <w:left w:val="none" w:sz="0" w:space="0" w:color="auto"/>
                    <w:bottom w:val="none" w:sz="0" w:space="0" w:color="auto"/>
                    <w:right w:val="none" w:sz="0" w:space="0" w:color="auto"/>
                  </w:divBdr>
                  <w:divsChild>
                    <w:div w:id="1417168246">
                      <w:marLeft w:val="0"/>
                      <w:marRight w:val="0"/>
                      <w:marTop w:val="0"/>
                      <w:marBottom w:val="0"/>
                      <w:divBdr>
                        <w:top w:val="none" w:sz="0" w:space="0" w:color="auto"/>
                        <w:left w:val="none" w:sz="0" w:space="0" w:color="auto"/>
                        <w:bottom w:val="none" w:sz="0" w:space="0" w:color="auto"/>
                        <w:right w:val="none" w:sz="0" w:space="0" w:color="auto"/>
                      </w:divBdr>
                    </w:div>
                  </w:divsChild>
                </w:div>
                <w:div w:id="1541017422">
                  <w:marLeft w:val="0"/>
                  <w:marRight w:val="0"/>
                  <w:marTop w:val="0"/>
                  <w:marBottom w:val="0"/>
                  <w:divBdr>
                    <w:top w:val="none" w:sz="0" w:space="0" w:color="auto"/>
                    <w:left w:val="none" w:sz="0" w:space="0" w:color="auto"/>
                    <w:bottom w:val="none" w:sz="0" w:space="0" w:color="auto"/>
                    <w:right w:val="none" w:sz="0" w:space="0" w:color="auto"/>
                  </w:divBdr>
                  <w:divsChild>
                    <w:div w:id="385033164">
                      <w:marLeft w:val="0"/>
                      <w:marRight w:val="0"/>
                      <w:marTop w:val="0"/>
                      <w:marBottom w:val="0"/>
                      <w:divBdr>
                        <w:top w:val="none" w:sz="0" w:space="0" w:color="auto"/>
                        <w:left w:val="none" w:sz="0" w:space="0" w:color="auto"/>
                        <w:bottom w:val="none" w:sz="0" w:space="0" w:color="auto"/>
                        <w:right w:val="none" w:sz="0" w:space="0" w:color="auto"/>
                      </w:divBdr>
                    </w:div>
                  </w:divsChild>
                </w:div>
                <w:div w:id="1695381417">
                  <w:marLeft w:val="0"/>
                  <w:marRight w:val="0"/>
                  <w:marTop w:val="0"/>
                  <w:marBottom w:val="0"/>
                  <w:divBdr>
                    <w:top w:val="none" w:sz="0" w:space="0" w:color="auto"/>
                    <w:left w:val="none" w:sz="0" w:space="0" w:color="auto"/>
                    <w:bottom w:val="none" w:sz="0" w:space="0" w:color="auto"/>
                    <w:right w:val="none" w:sz="0" w:space="0" w:color="auto"/>
                  </w:divBdr>
                  <w:divsChild>
                    <w:div w:id="1020277369">
                      <w:marLeft w:val="0"/>
                      <w:marRight w:val="0"/>
                      <w:marTop w:val="0"/>
                      <w:marBottom w:val="0"/>
                      <w:divBdr>
                        <w:top w:val="none" w:sz="0" w:space="0" w:color="auto"/>
                        <w:left w:val="none" w:sz="0" w:space="0" w:color="auto"/>
                        <w:bottom w:val="none" w:sz="0" w:space="0" w:color="auto"/>
                        <w:right w:val="none" w:sz="0" w:space="0" w:color="auto"/>
                      </w:divBdr>
                    </w:div>
                  </w:divsChild>
                </w:div>
                <w:div w:id="1757432295">
                  <w:marLeft w:val="0"/>
                  <w:marRight w:val="0"/>
                  <w:marTop w:val="0"/>
                  <w:marBottom w:val="0"/>
                  <w:divBdr>
                    <w:top w:val="none" w:sz="0" w:space="0" w:color="auto"/>
                    <w:left w:val="none" w:sz="0" w:space="0" w:color="auto"/>
                    <w:bottom w:val="none" w:sz="0" w:space="0" w:color="auto"/>
                    <w:right w:val="none" w:sz="0" w:space="0" w:color="auto"/>
                  </w:divBdr>
                  <w:divsChild>
                    <w:div w:id="63841512">
                      <w:marLeft w:val="0"/>
                      <w:marRight w:val="0"/>
                      <w:marTop w:val="0"/>
                      <w:marBottom w:val="0"/>
                      <w:divBdr>
                        <w:top w:val="none" w:sz="0" w:space="0" w:color="auto"/>
                        <w:left w:val="none" w:sz="0" w:space="0" w:color="auto"/>
                        <w:bottom w:val="none" w:sz="0" w:space="0" w:color="auto"/>
                        <w:right w:val="none" w:sz="0" w:space="0" w:color="auto"/>
                      </w:divBdr>
                    </w:div>
                  </w:divsChild>
                </w:div>
                <w:div w:id="1864391778">
                  <w:marLeft w:val="0"/>
                  <w:marRight w:val="0"/>
                  <w:marTop w:val="0"/>
                  <w:marBottom w:val="0"/>
                  <w:divBdr>
                    <w:top w:val="none" w:sz="0" w:space="0" w:color="auto"/>
                    <w:left w:val="none" w:sz="0" w:space="0" w:color="auto"/>
                    <w:bottom w:val="none" w:sz="0" w:space="0" w:color="auto"/>
                    <w:right w:val="none" w:sz="0" w:space="0" w:color="auto"/>
                  </w:divBdr>
                  <w:divsChild>
                    <w:div w:id="705376382">
                      <w:marLeft w:val="0"/>
                      <w:marRight w:val="0"/>
                      <w:marTop w:val="0"/>
                      <w:marBottom w:val="0"/>
                      <w:divBdr>
                        <w:top w:val="none" w:sz="0" w:space="0" w:color="auto"/>
                        <w:left w:val="none" w:sz="0" w:space="0" w:color="auto"/>
                        <w:bottom w:val="none" w:sz="0" w:space="0" w:color="auto"/>
                        <w:right w:val="none" w:sz="0" w:space="0" w:color="auto"/>
                      </w:divBdr>
                    </w:div>
                    <w:div w:id="1908684238">
                      <w:marLeft w:val="0"/>
                      <w:marRight w:val="0"/>
                      <w:marTop w:val="0"/>
                      <w:marBottom w:val="0"/>
                      <w:divBdr>
                        <w:top w:val="none" w:sz="0" w:space="0" w:color="auto"/>
                        <w:left w:val="none" w:sz="0" w:space="0" w:color="auto"/>
                        <w:bottom w:val="none" w:sz="0" w:space="0" w:color="auto"/>
                        <w:right w:val="none" w:sz="0" w:space="0" w:color="auto"/>
                      </w:divBdr>
                    </w:div>
                  </w:divsChild>
                </w:div>
                <w:div w:id="1973750768">
                  <w:marLeft w:val="0"/>
                  <w:marRight w:val="0"/>
                  <w:marTop w:val="0"/>
                  <w:marBottom w:val="0"/>
                  <w:divBdr>
                    <w:top w:val="none" w:sz="0" w:space="0" w:color="auto"/>
                    <w:left w:val="none" w:sz="0" w:space="0" w:color="auto"/>
                    <w:bottom w:val="none" w:sz="0" w:space="0" w:color="auto"/>
                    <w:right w:val="none" w:sz="0" w:space="0" w:color="auto"/>
                  </w:divBdr>
                  <w:divsChild>
                    <w:div w:id="1467049306">
                      <w:marLeft w:val="0"/>
                      <w:marRight w:val="0"/>
                      <w:marTop w:val="0"/>
                      <w:marBottom w:val="0"/>
                      <w:divBdr>
                        <w:top w:val="none" w:sz="0" w:space="0" w:color="auto"/>
                        <w:left w:val="none" w:sz="0" w:space="0" w:color="auto"/>
                        <w:bottom w:val="none" w:sz="0" w:space="0" w:color="auto"/>
                        <w:right w:val="none" w:sz="0" w:space="0" w:color="auto"/>
                      </w:divBdr>
                    </w:div>
                    <w:div w:id="15373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0842">
          <w:marLeft w:val="0"/>
          <w:marRight w:val="0"/>
          <w:marTop w:val="0"/>
          <w:marBottom w:val="0"/>
          <w:divBdr>
            <w:top w:val="none" w:sz="0" w:space="0" w:color="auto"/>
            <w:left w:val="none" w:sz="0" w:space="0" w:color="auto"/>
            <w:bottom w:val="none" w:sz="0" w:space="0" w:color="auto"/>
            <w:right w:val="none" w:sz="0" w:space="0" w:color="auto"/>
          </w:divBdr>
        </w:div>
      </w:divsChild>
    </w:div>
    <w:div w:id="344017015">
      <w:bodyDiv w:val="1"/>
      <w:marLeft w:val="0"/>
      <w:marRight w:val="0"/>
      <w:marTop w:val="0"/>
      <w:marBottom w:val="0"/>
      <w:divBdr>
        <w:top w:val="none" w:sz="0" w:space="0" w:color="auto"/>
        <w:left w:val="none" w:sz="0" w:space="0" w:color="auto"/>
        <w:bottom w:val="none" w:sz="0" w:space="0" w:color="auto"/>
        <w:right w:val="none" w:sz="0" w:space="0" w:color="auto"/>
      </w:divBdr>
    </w:div>
    <w:div w:id="365568023">
      <w:bodyDiv w:val="1"/>
      <w:marLeft w:val="0"/>
      <w:marRight w:val="0"/>
      <w:marTop w:val="0"/>
      <w:marBottom w:val="0"/>
      <w:divBdr>
        <w:top w:val="none" w:sz="0" w:space="0" w:color="auto"/>
        <w:left w:val="none" w:sz="0" w:space="0" w:color="auto"/>
        <w:bottom w:val="none" w:sz="0" w:space="0" w:color="auto"/>
        <w:right w:val="none" w:sz="0" w:space="0" w:color="auto"/>
      </w:divBdr>
    </w:div>
    <w:div w:id="366566761">
      <w:bodyDiv w:val="1"/>
      <w:marLeft w:val="0"/>
      <w:marRight w:val="0"/>
      <w:marTop w:val="0"/>
      <w:marBottom w:val="0"/>
      <w:divBdr>
        <w:top w:val="none" w:sz="0" w:space="0" w:color="auto"/>
        <w:left w:val="none" w:sz="0" w:space="0" w:color="auto"/>
        <w:bottom w:val="none" w:sz="0" w:space="0" w:color="auto"/>
        <w:right w:val="none" w:sz="0" w:space="0" w:color="auto"/>
      </w:divBdr>
      <w:divsChild>
        <w:div w:id="217672574">
          <w:marLeft w:val="0"/>
          <w:marRight w:val="0"/>
          <w:marTop w:val="0"/>
          <w:marBottom w:val="0"/>
          <w:divBdr>
            <w:top w:val="none" w:sz="0" w:space="0" w:color="auto"/>
            <w:left w:val="none" w:sz="0" w:space="0" w:color="auto"/>
            <w:bottom w:val="none" w:sz="0" w:space="0" w:color="auto"/>
            <w:right w:val="none" w:sz="0" w:space="0" w:color="auto"/>
          </w:divBdr>
        </w:div>
        <w:div w:id="1283998285">
          <w:marLeft w:val="0"/>
          <w:marRight w:val="0"/>
          <w:marTop w:val="0"/>
          <w:marBottom w:val="0"/>
          <w:divBdr>
            <w:top w:val="none" w:sz="0" w:space="0" w:color="auto"/>
            <w:left w:val="none" w:sz="0" w:space="0" w:color="auto"/>
            <w:bottom w:val="none" w:sz="0" w:space="0" w:color="auto"/>
            <w:right w:val="none" w:sz="0" w:space="0" w:color="auto"/>
          </w:divBdr>
        </w:div>
        <w:div w:id="1745297978">
          <w:marLeft w:val="0"/>
          <w:marRight w:val="0"/>
          <w:marTop w:val="0"/>
          <w:marBottom w:val="0"/>
          <w:divBdr>
            <w:top w:val="none" w:sz="0" w:space="0" w:color="auto"/>
            <w:left w:val="none" w:sz="0" w:space="0" w:color="auto"/>
            <w:bottom w:val="none" w:sz="0" w:space="0" w:color="auto"/>
            <w:right w:val="none" w:sz="0" w:space="0" w:color="auto"/>
          </w:divBdr>
        </w:div>
      </w:divsChild>
    </w:div>
    <w:div w:id="480847859">
      <w:bodyDiv w:val="1"/>
      <w:marLeft w:val="0"/>
      <w:marRight w:val="0"/>
      <w:marTop w:val="0"/>
      <w:marBottom w:val="0"/>
      <w:divBdr>
        <w:top w:val="none" w:sz="0" w:space="0" w:color="auto"/>
        <w:left w:val="none" w:sz="0" w:space="0" w:color="auto"/>
        <w:bottom w:val="none" w:sz="0" w:space="0" w:color="auto"/>
        <w:right w:val="none" w:sz="0" w:space="0" w:color="auto"/>
      </w:divBdr>
      <w:divsChild>
        <w:div w:id="451441397">
          <w:marLeft w:val="0"/>
          <w:marRight w:val="0"/>
          <w:marTop w:val="0"/>
          <w:marBottom w:val="0"/>
          <w:divBdr>
            <w:top w:val="none" w:sz="0" w:space="0" w:color="auto"/>
            <w:left w:val="none" w:sz="0" w:space="0" w:color="auto"/>
            <w:bottom w:val="none" w:sz="0" w:space="0" w:color="auto"/>
            <w:right w:val="none" w:sz="0" w:space="0" w:color="auto"/>
          </w:divBdr>
        </w:div>
        <w:div w:id="1079058967">
          <w:marLeft w:val="0"/>
          <w:marRight w:val="0"/>
          <w:marTop w:val="0"/>
          <w:marBottom w:val="0"/>
          <w:divBdr>
            <w:top w:val="none" w:sz="0" w:space="0" w:color="auto"/>
            <w:left w:val="none" w:sz="0" w:space="0" w:color="auto"/>
            <w:bottom w:val="none" w:sz="0" w:space="0" w:color="auto"/>
            <w:right w:val="none" w:sz="0" w:space="0" w:color="auto"/>
          </w:divBdr>
        </w:div>
        <w:div w:id="1702630135">
          <w:marLeft w:val="0"/>
          <w:marRight w:val="0"/>
          <w:marTop w:val="0"/>
          <w:marBottom w:val="0"/>
          <w:divBdr>
            <w:top w:val="none" w:sz="0" w:space="0" w:color="auto"/>
            <w:left w:val="none" w:sz="0" w:space="0" w:color="auto"/>
            <w:bottom w:val="none" w:sz="0" w:space="0" w:color="auto"/>
            <w:right w:val="none" w:sz="0" w:space="0" w:color="auto"/>
          </w:divBdr>
        </w:div>
        <w:div w:id="1857692625">
          <w:marLeft w:val="0"/>
          <w:marRight w:val="0"/>
          <w:marTop w:val="0"/>
          <w:marBottom w:val="0"/>
          <w:divBdr>
            <w:top w:val="none" w:sz="0" w:space="0" w:color="auto"/>
            <w:left w:val="none" w:sz="0" w:space="0" w:color="auto"/>
            <w:bottom w:val="none" w:sz="0" w:space="0" w:color="auto"/>
            <w:right w:val="none" w:sz="0" w:space="0" w:color="auto"/>
          </w:divBdr>
        </w:div>
      </w:divsChild>
    </w:div>
    <w:div w:id="553473081">
      <w:bodyDiv w:val="1"/>
      <w:marLeft w:val="0"/>
      <w:marRight w:val="0"/>
      <w:marTop w:val="0"/>
      <w:marBottom w:val="0"/>
      <w:divBdr>
        <w:top w:val="none" w:sz="0" w:space="0" w:color="auto"/>
        <w:left w:val="none" w:sz="0" w:space="0" w:color="auto"/>
        <w:bottom w:val="none" w:sz="0" w:space="0" w:color="auto"/>
        <w:right w:val="none" w:sz="0" w:space="0" w:color="auto"/>
      </w:divBdr>
    </w:div>
    <w:div w:id="557281527">
      <w:bodyDiv w:val="1"/>
      <w:marLeft w:val="0"/>
      <w:marRight w:val="0"/>
      <w:marTop w:val="0"/>
      <w:marBottom w:val="0"/>
      <w:divBdr>
        <w:top w:val="none" w:sz="0" w:space="0" w:color="auto"/>
        <w:left w:val="none" w:sz="0" w:space="0" w:color="auto"/>
        <w:bottom w:val="none" w:sz="0" w:space="0" w:color="auto"/>
        <w:right w:val="none" w:sz="0" w:space="0" w:color="auto"/>
      </w:divBdr>
      <w:divsChild>
        <w:div w:id="106656150">
          <w:marLeft w:val="0"/>
          <w:marRight w:val="0"/>
          <w:marTop w:val="0"/>
          <w:marBottom w:val="0"/>
          <w:divBdr>
            <w:top w:val="none" w:sz="0" w:space="0" w:color="auto"/>
            <w:left w:val="none" w:sz="0" w:space="0" w:color="auto"/>
            <w:bottom w:val="none" w:sz="0" w:space="0" w:color="auto"/>
            <w:right w:val="none" w:sz="0" w:space="0" w:color="auto"/>
          </w:divBdr>
        </w:div>
        <w:div w:id="260722395">
          <w:marLeft w:val="0"/>
          <w:marRight w:val="0"/>
          <w:marTop w:val="0"/>
          <w:marBottom w:val="0"/>
          <w:divBdr>
            <w:top w:val="none" w:sz="0" w:space="0" w:color="auto"/>
            <w:left w:val="none" w:sz="0" w:space="0" w:color="auto"/>
            <w:bottom w:val="none" w:sz="0" w:space="0" w:color="auto"/>
            <w:right w:val="none" w:sz="0" w:space="0" w:color="auto"/>
          </w:divBdr>
        </w:div>
        <w:div w:id="417603047">
          <w:marLeft w:val="0"/>
          <w:marRight w:val="0"/>
          <w:marTop w:val="0"/>
          <w:marBottom w:val="0"/>
          <w:divBdr>
            <w:top w:val="none" w:sz="0" w:space="0" w:color="auto"/>
            <w:left w:val="none" w:sz="0" w:space="0" w:color="auto"/>
            <w:bottom w:val="none" w:sz="0" w:space="0" w:color="auto"/>
            <w:right w:val="none" w:sz="0" w:space="0" w:color="auto"/>
          </w:divBdr>
        </w:div>
        <w:div w:id="751049710">
          <w:marLeft w:val="0"/>
          <w:marRight w:val="0"/>
          <w:marTop w:val="0"/>
          <w:marBottom w:val="0"/>
          <w:divBdr>
            <w:top w:val="none" w:sz="0" w:space="0" w:color="auto"/>
            <w:left w:val="none" w:sz="0" w:space="0" w:color="auto"/>
            <w:bottom w:val="none" w:sz="0" w:space="0" w:color="auto"/>
            <w:right w:val="none" w:sz="0" w:space="0" w:color="auto"/>
          </w:divBdr>
        </w:div>
        <w:div w:id="1094861814">
          <w:marLeft w:val="0"/>
          <w:marRight w:val="0"/>
          <w:marTop w:val="0"/>
          <w:marBottom w:val="0"/>
          <w:divBdr>
            <w:top w:val="none" w:sz="0" w:space="0" w:color="auto"/>
            <w:left w:val="none" w:sz="0" w:space="0" w:color="auto"/>
            <w:bottom w:val="none" w:sz="0" w:space="0" w:color="auto"/>
            <w:right w:val="none" w:sz="0" w:space="0" w:color="auto"/>
          </w:divBdr>
        </w:div>
        <w:div w:id="1178344443">
          <w:marLeft w:val="0"/>
          <w:marRight w:val="0"/>
          <w:marTop w:val="0"/>
          <w:marBottom w:val="0"/>
          <w:divBdr>
            <w:top w:val="none" w:sz="0" w:space="0" w:color="auto"/>
            <w:left w:val="none" w:sz="0" w:space="0" w:color="auto"/>
            <w:bottom w:val="none" w:sz="0" w:space="0" w:color="auto"/>
            <w:right w:val="none" w:sz="0" w:space="0" w:color="auto"/>
          </w:divBdr>
        </w:div>
      </w:divsChild>
    </w:div>
    <w:div w:id="586379122">
      <w:bodyDiv w:val="1"/>
      <w:marLeft w:val="0"/>
      <w:marRight w:val="0"/>
      <w:marTop w:val="0"/>
      <w:marBottom w:val="0"/>
      <w:divBdr>
        <w:top w:val="none" w:sz="0" w:space="0" w:color="auto"/>
        <w:left w:val="none" w:sz="0" w:space="0" w:color="auto"/>
        <w:bottom w:val="none" w:sz="0" w:space="0" w:color="auto"/>
        <w:right w:val="none" w:sz="0" w:space="0" w:color="auto"/>
      </w:divBdr>
      <w:divsChild>
        <w:div w:id="935508">
          <w:marLeft w:val="0"/>
          <w:marRight w:val="0"/>
          <w:marTop w:val="0"/>
          <w:marBottom w:val="0"/>
          <w:divBdr>
            <w:top w:val="none" w:sz="0" w:space="0" w:color="auto"/>
            <w:left w:val="none" w:sz="0" w:space="0" w:color="auto"/>
            <w:bottom w:val="none" w:sz="0" w:space="0" w:color="auto"/>
            <w:right w:val="none" w:sz="0" w:space="0" w:color="auto"/>
          </w:divBdr>
        </w:div>
        <w:div w:id="849760820">
          <w:marLeft w:val="0"/>
          <w:marRight w:val="0"/>
          <w:marTop w:val="0"/>
          <w:marBottom w:val="0"/>
          <w:divBdr>
            <w:top w:val="none" w:sz="0" w:space="0" w:color="auto"/>
            <w:left w:val="none" w:sz="0" w:space="0" w:color="auto"/>
            <w:bottom w:val="none" w:sz="0" w:space="0" w:color="auto"/>
            <w:right w:val="none" w:sz="0" w:space="0" w:color="auto"/>
          </w:divBdr>
        </w:div>
      </w:divsChild>
    </w:div>
    <w:div w:id="601960382">
      <w:bodyDiv w:val="1"/>
      <w:marLeft w:val="0"/>
      <w:marRight w:val="0"/>
      <w:marTop w:val="0"/>
      <w:marBottom w:val="0"/>
      <w:divBdr>
        <w:top w:val="none" w:sz="0" w:space="0" w:color="auto"/>
        <w:left w:val="none" w:sz="0" w:space="0" w:color="auto"/>
        <w:bottom w:val="none" w:sz="0" w:space="0" w:color="auto"/>
        <w:right w:val="none" w:sz="0" w:space="0" w:color="auto"/>
      </w:divBdr>
      <w:divsChild>
        <w:div w:id="308479127">
          <w:marLeft w:val="0"/>
          <w:marRight w:val="0"/>
          <w:marTop w:val="0"/>
          <w:marBottom w:val="0"/>
          <w:divBdr>
            <w:top w:val="none" w:sz="0" w:space="0" w:color="auto"/>
            <w:left w:val="none" w:sz="0" w:space="0" w:color="auto"/>
            <w:bottom w:val="none" w:sz="0" w:space="0" w:color="auto"/>
            <w:right w:val="none" w:sz="0" w:space="0" w:color="auto"/>
          </w:divBdr>
        </w:div>
        <w:div w:id="492600820">
          <w:marLeft w:val="0"/>
          <w:marRight w:val="0"/>
          <w:marTop w:val="0"/>
          <w:marBottom w:val="0"/>
          <w:divBdr>
            <w:top w:val="none" w:sz="0" w:space="0" w:color="auto"/>
            <w:left w:val="none" w:sz="0" w:space="0" w:color="auto"/>
            <w:bottom w:val="none" w:sz="0" w:space="0" w:color="auto"/>
            <w:right w:val="none" w:sz="0" w:space="0" w:color="auto"/>
          </w:divBdr>
        </w:div>
        <w:div w:id="688796889">
          <w:marLeft w:val="0"/>
          <w:marRight w:val="0"/>
          <w:marTop w:val="0"/>
          <w:marBottom w:val="0"/>
          <w:divBdr>
            <w:top w:val="none" w:sz="0" w:space="0" w:color="auto"/>
            <w:left w:val="none" w:sz="0" w:space="0" w:color="auto"/>
            <w:bottom w:val="none" w:sz="0" w:space="0" w:color="auto"/>
            <w:right w:val="none" w:sz="0" w:space="0" w:color="auto"/>
          </w:divBdr>
        </w:div>
      </w:divsChild>
    </w:div>
    <w:div w:id="657155699">
      <w:bodyDiv w:val="1"/>
      <w:marLeft w:val="0"/>
      <w:marRight w:val="0"/>
      <w:marTop w:val="0"/>
      <w:marBottom w:val="0"/>
      <w:divBdr>
        <w:top w:val="none" w:sz="0" w:space="0" w:color="auto"/>
        <w:left w:val="none" w:sz="0" w:space="0" w:color="auto"/>
        <w:bottom w:val="none" w:sz="0" w:space="0" w:color="auto"/>
        <w:right w:val="none" w:sz="0" w:space="0" w:color="auto"/>
      </w:divBdr>
      <w:divsChild>
        <w:div w:id="140848645">
          <w:marLeft w:val="0"/>
          <w:marRight w:val="0"/>
          <w:marTop w:val="0"/>
          <w:marBottom w:val="0"/>
          <w:divBdr>
            <w:top w:val="none" w:sz="0" w:space="0" w:color="auto"/>
            <w:left w:val="none" w:sz="0" w:space="0" w:color="auto"/>
            <w:bottom w:val="none" w:sz="0" w:space="0" w:color="auto"/>
            <w:right w:val="none" w:sz="0" w:space="0" w:color="auto"/>
          </w:divBdr>
          <w:divsChild>
            <w:div w:id="470706947">
              <w:marLeft w:val="0"/>
              <w:marRight w:val="0"/>
              <w:marTop w:val="0"/>
              <w:marBottom w:val="0"/>
              <w:divBdr>
                <w:top w:val="none" w:sz="0" w:space="0" w:color="auto"/>
                <w:left w:val="none" w:sz="0" w:space="0" w:color="auto"/>
                <w:bottom w:val="none" w:sz="0" w:space="0" w:color="auto"/>
                <w:right w:val="none" w:sz="0" w:space="0" w:color="auto"/>
              </w:divBdr>
            </w:div>
          </w:divsChild>
        </w:div>
        <w:div w:id="609973070">
          <w:marLeft w:val="0"/>
          <w:marRight w:val="0"/>
          <w:marTop w:val="0"/>
          <w:marBottom w:val="0"/>
          <w:divBdr>
            <w:top w:val="none" w:sz="0" w:space="0" w:color="auto"/>
            <w:left w:val="none" w:sz="0" w:space="0" w:color="auto"/>
            <w:bottom w:val="none" w:sz="0" w:space="0" w:color="auto"/>
            <w:right w:val="none" w:sz="0" w:space="0" w:color="auto"/>
          </w:divBdr>
          <w:divsChild>
            <w:div w:id="1661882351">
              <w:marLeft w:val="0"/>
              <w:marRight w:val="0"/>
              <w:marTop w:val="0"/>
              <w:marBottom w:val="0"/>
              <w:divBdr>
                <w:top w:val="none" w:sz="0" w:space="0" w:color="auto"/>
                <w:left w:val="none" w:sz="0" w:space="0" w:color="auto"/>
                <w:bottom w:val="none" w:sz="0" w:space="0" w:color="auto"/>
                <w:right w:val="none" w:sz="0" w:space="0" w:color="auto"/>
              </w:divBdr>
            </w:div>
          </w:divsChild>
        </w:div>
        <w:div w:id="621806740">
          <w:marLeft w:val="0"/>
          <w:marRight w:val="0"/>
          <w:marTop w:val="0"/>
          <w:marBottom w:val="0"/>
          <w:divBdr>
            <w:top w:val="none" w:sz="0" w:space="0" w:color="auto"/>
            <w:left w:val="none" w:sz="0" w:space="0" w:color="auto"/>
            <w:bottom w:val="none" w:sz="0" w:space="0" w:color="auto"/>
            <w:right w:val="none" w:sz="0" w:space="0" w:color="auto"/>
          </w:divBdr>
          <w:divsChild>
            <w:div w:id="473714141">
              <w:marLeft w:val="0"/>
              <w:marRight w:val="0"/>
              <w:marTop w:val="0"/>
              <w:marBottom w:val="0"/>
              <w:divBdr>
                <w:top w:val="none" w:sz="0" w:space="0" w:color="auto"/>
                <w:left w:val="none" w:sz="0" w:space="0" w:color="auto"/>
                <w:bottom w:val="none" w:sz="0" w:space="0" w:color="auto"/>
                <w:right w:val="none" w:sz="0" w:space="0" w:color="auto"/>
              </w:divBdr>
            </w:div>
            <w:div w:id="1106196280">
              <w:marLeft w:val="0"/>
              <w:marRight w:val="0"/>
              <w:marTop w:val="0"/>
              <w:marBottom w:val="0"/>
              <w:divBdr>
                <w:top w:val="none" w:sz="0" w:space="0" w:color="auto"/>
                <w:left w:val="none" w:sz="0" w:space="0" w:color="auto"/>
                <w:bottom w:val="none" w:sz="0" w:space="0" w:color="auto"/>
                <w:right w:val="none" w:sz="0" w:space="0" w:color="auto"/>
              </w:divBdr>
            </w:div>
            <w:div w:id="1667826787">
              <w:marLeft w:val="0"/>
              <w:marRight w:val="0"/>
              <w:marTop w:val="0"/>
              <w:marBottom w:val="0"/>
              <w:divBdr>
                <w:top w:val="none" w:sz="0" w:space="0" w:color="auto"/>
                <w:left w:val="none" w:sz="0" w:space="0" w:color="auto"/>
                <w:bottom w:val="none" w:sz="0" w:space="0" w:color="auto"/>
                <w:right w:val="none" w:sz="0" w:space="0" w:color="auto"/>
              </w:divBdr>
            </w:div>
          </w:divsChild>
        </w:div>
        <w:div w:id="1701123136">
          <w:marLeft w:val="0"/>
          <w:marRight w:val="0"/>
          <w:marTop w:val="0"/>
          <w:marBottom w:val="0"/>
          <w:divBdr>
            <w:top w:val="none" w:sz="0" w:space="0" w:color="auto"/>
            <w:left w:val="none" w:sz="0" w:space="0" w:color="auto"/>
            <w:bottom w:val="none" w:sz="0" w:space="0" w:color="auto"/>
            <w:right w:val="none" w:sz="0" w:space="0" w:color="auto"/>
          </w:divBdr>
          <w:divsChild>
            <w:div w:id="120006291">
              <w:marLeft w:val="0"/>
              <w:marRight w:val="0"/>
              <w:marTop w:val="0"/>
              <w:marBottom w:val="0"/>
              <w:divBdr>
                <w:top w:val="none" w:sz="0" w:space="0" w:color="auto"/>
                <w:left w:val="none" w:sz="0" w:space="0" w:color="auto"/>
                <w:bottom w:val="none" w:sz="0" w:space="0" w:color="auto"/>
                <w:right w:val="none" w:sz="0" w:space="0" w:color="auto"/>
              </w:divBdr>
            </w:div>
          </w:divsChild>
        </w:div>
        <w:div w:id="1729499496">
          <w:marLeft w:val="0"/>
          <w:marRight w:val="0"/>
          <w:marTop w:val="0"/>
          <w:marBottom w:val="0"/>
          <w:divBdr>
            <w:top w:val="none" w:sz="0" w:space="0" w:color="auto"/>
            <w:left w:val="none" w:sz="0" w:space="0" w:color="auto"/>
            <w:bottom w:val="none" w:sz="0" w:space="0" w:color="auto"/>
            <w:right w:val="none" w:sz="0" w:space="0" w:color="auto"/>
          </w:divBdr>
          <w:divsChild>
            <w:div w:id="1300695907">
              <w:marLeft w:val="0"/>
              <w:marRight w:val="0"/>
              <w:marTop w:val="0"/>
              <w:marBottom w:val="0"/>
              <w:divBdr>
                <w:top w:val="none" w:sz="0" w:space="0" w:color="auto"/>
                <w:left w:val="none" w:sz="0" w:space="0" w:color="auto"/>
                <w:bottom w:val="none" w:sz="0" w:space="0" w:color="auto"/>
                <w:right w:val="none" w:sz="0" w:space="0" w:color="auto"/>
              </w:divBdr>
            </w:div>
          </w:divsChild>
        </w:div>
        <w:div w:id="2125152808">
          <w:marLeft w:val="0"/>
          <w:marRight w:val="0"/>
          <w:marTop w:val="0"/>
          <w:marBottom w:val="0"/>
          <w:divBdr>
            <w:top w:val="none" w:sz="0" w:space="0" w:color="auto"/>
            <w:left w:val="none" w:sz="0" w:space="0" w:color="auto"/>
            <w:bottom w:val="none" w:sz="0" w:space="0" w:color="auto"/>
            <w:right w:val="none" w:sz="0" w:space="0" w:color="auto"/>
          </w:divBdr>
          <w:divsChild>
            <w:div w:id="1134062467">
              <w:marLeft w:val="0"/>
              <w:marRight w:val="0"/>
              <w:marTop w:val="0"/>
              <w:marBottom w:val="0"/>
              <w:divBdr>
                <w:top w:val="none" w:sz="0" w:space="0" w:color="auto"/>
                <w:left w:val="none" w:sz="0" w:space="0" w:color="auto"/>
                <w:bottom w:val="none" w:sz="0" w:space="0" w:color="auto"/>
                <w:right w:val="none" w:sz="0" w:space="0" w:color="auto"/>
              </w:divBdr>
            </w:div>
            <w:div w:id="184898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50116">
      <w:bodyDiv w:val="1"/>
      <w:marLeft w:val="0"/>
      <w:marRight w:val="0"/>
      <w:marTop w:val="0"/>
      <w:marBottom w:val="0"/>
      <w:divBdr>
        <w:top w:val="none" w:sz="0" w:space="0" w:color="auto"/>
        <w:left w:val="none" w:sz="0" w:space="0" w:color="auto"/>
        <w:bottom w:val="none" w:sz="0" w:space="0" w:color="auto"/>
        <w:right w:val="none" w:sz="0" w:space="0" w:color="auto"/>
      </w:divBdr>
    </w:div>
    <w:div w:id="700665487">
      <w:bodyDiv w:val="1"/>
      <w:marLeft w:val="0"/>
      <w:marRight w:val="0"/>
      <w:marTop w:val="0"/>
      <w:marBottom w:val="0"/>
      <w:divBdr>
        <w:top w:val="none" w:sz="0" w:space="0" w:color="auto"/>
        <w:left w:val="none" w:sz="0" w:space="0" w:color="auto"/>
        <w:bottom w:val="none" w:sz="0" w:space="0" w:color="auto"/>
        <w:right w:val="none" w:sz="0" w:space="0" w:color="auto"/>
      </w:divBdr>
      <w:divsChild>
        <w:div w:id="46805413">
          <w:marLeft w:val="0"/>
          <w:marRight w:val="0"/>
          <w:marTop w:val="0"/>
          <w:marBottom w:val="0"/>
          <w:divBdr>
            <w:top w:val="none" w:sz="0" w:space="0" w:color="auto"/>
            <w:left w:val="none" w:sz="0" w:space="0" w:color="auto"/>
            <w:bottom w:val="none" w:sz="0" w:space="0" w:color="auto"/>
            <w:right w:val="none" w:sz="0" w:space="0" w:color="auto"/>
          </w:divBdr>
        </w:div>
        <w:div w:id="102461962">
          <w:marLeft w:val="0"/>
          <w:marRight w:val="0"/>
          <w:marTop w:val="0"/>
          <w:marBottom w:val="0"/>
          <w:divBdr>
            <w:top w:val="none" w:sz="0" w:space="0" w:color="auto"/>
            <w:left w:val="none" w:sz="0" w:space="0" w:color="auto"/>
            <w:bottom w:val="none" w:sz="0" w:space="0" w:color="auto"/>
            <w:right w:val="none" w:sz="0" w:space="0" w:color="auto"/>
          </w:divBdr>
        </w:div>
        <w:div w:id="129137210">
          <w:marLeft w:val="0"/>
          <w:marRight w:val="0"/>
          <w:marTop w:val="0"/>
          <w:marBottom w:val="0"/>
          <w:divBdr>
            <w:top w:val="none" w:sz="0" w:space="0" w:color="auto"/>
            <w:left w:val="none" w:sz="0" w:space="0" w:color="auto"/>
            <w:bottom w:val="none" w:sz="0" w:space="0" w:color="auto"/>
            <w:right w:val="none" w:sz="0" w:space="0" w:color="auto"/>
          </w:divBdr>
        </w:div>
        <w:div w:id="136187450">
          <w:marLeft w:val="0"/>
          <w:marRight w:val="0"/>
          <w:marTop w:val="0"/>
          <w:marBottom w:val="0"/>
          <w:divBdr>
            <w:top w:val="none" w:sz="0" w:space="0" w:color="auto"/>
            <w:left w:val="none" w:sz="0" w:space="0" w:color="auto"/>
            <w:bottom w:val="none" w:sz="0" w:space="0" w:color="auto"/>
            <w:right w:val="none" w:sz="0" w:space="0" w:color="auto"/>
          </w:divBdr>
        </w:div>
        <w:div w:id="178811098">
          <w:marLeft w:val="0"/>
          <w:marRight w:val="0"/>
          <w:marTop w:val="0"/>
          <w:marBottom w:val="0"/>
          <w:divBdr>
            <w:top w:val="none" w:sz="0" w:space="0" w:color="auto"/>
            <w:left w:val="none" w:sz="0" w:space="0" w:color="auto"/>
            <w:bottom w:val="none" w:sz="0" w:space="0" w:color="auto"/>
            <w:right w:val="none" w:sz="0" w:space="0" w:color="auto"/>
          </w:divBdr>
        </w:div>
        <w:div w:id="222644338">
          <w:marLeft w:val="0"/>
          <w:marRight w:val="0"/>
          <w:marTop w:val="0"/>
          <w:marBottom w:val="0"/>
          <w:divBdr>
            <w:top w:val="none" w:sz="0" w:space="0" w:color="auto"/>
            <w:left w:val="none" w:sz="0" w:space="0" w:color="auto"/>
            <w:bottom w:val="none" w:sz="0" w:space="0" w:color="auto"/>
            <w:right w:val="none" w:sz="0" w:space="0" w:color="auto"/>
          </w:divBdr>
        </w:div>
        <w:div w:id="291904094">
          <w:marLeft w:val="0"/>
          <w:marRight w:val="0"/>
          <w:marTop w:val="0"/>
          <w:marBottom w:val="0"/>
          <w:divBdr>
            <w:top w:val="none" w:sz="0" w:space="0" w:color="auto"/>
            <w:left w:val="none" w:sz="0" w:space="0" w:color="auto"/>
            <w:bottom w:val="none" w:sz="0" w:space="0" w:color="auto"/>
            <w:right w:val="none" w:sz="0" w:space="0" w:color="auto"/>
          </w:divBdr>
        </w:div>
        <w:div w:id="329871966">
          <w:marLeft w:val="0"/>
          <w:marRight w:val="0"/>
          <w:marTop w:val="0"/>
          <w:marBottom w:val="0"/>
          <w:divBdr>
            <w:top w:val="none" w:sz="0" w:space="0" w:color="auto"/>
            <w:left w:val="none" w:sz="0" w:space="0" w:color="auto"/>
            <w:bottom w:val="none" w:sz="0" w:space="0" w:color="auto"/>
            <w:right w:val="none" w:sz="0" w:space="0" w:color="auto"/>
          </w:divBdr>
        </w:div>
        <w:div w:id="419833621">
          <w:marLeft w:val="0"/>
          <w:marRight w:val="0"/>
          <w:marTop w:val="0"/>
          <w:marBottom w:val="0"/>
          <w:divBdr>
            <w:top w:val="none" w:sz="0" w:space="0" w:color="auto"/>
            <w:left w:val="none" w:sz="0" w:space="0" w:color="auto"/>
            <w:bottom w:val="none" w:sz="0" w:space="0" w:color="auto"/>
            <w:right w:val="none" w:sz="0" w:space="0" w:color="auto"/>
          </w:divBdr>
        </w:div>
        <w:div w:id="585770491">
          <w:marLeft w:val="0"/>
          <w:marRight w:val="0"/>
          <w:marTop w:val="0"/>
          <w:marBottom w:val="0"/>
          <w:divBdr>
            <w:top w:val="none" w:sz="0" w:space="0" w:color="auto"/>
            <w:left w:val="none" w:sz="0" w:space="0" w:color="auto"/>
            <w:bottom w:val="none" w:sz="0" w:space="0" w:color="auto"/>
            <w:right w:val="none" w:sz="0" w:space="0" w:color="auto"/>
          </w:divBdr>
        </w:div>
        <w:div w:id="620646375">
          <w:marLeft w:val="0"/>
          <w:marRight w:val="0"/>
          <w:marTop w:val="0"/>
          <w:marBottom w:val="0"/>
          <w:divBdr>
            <w:top w:val="none" w:sz="0" w:space="0" w:color="auto"/>
            <w:left w:val="none" w:sz="0" w:space="0" w:color="auto"/>
            <w:bottom w:val="none" w:sz="0" w:space="0" w:color="auto"/>
            <w:right w:val="none" w:sz="0" w:space="0" w:color="auto"/>
          </w:divBdr>
        </w:div>
        <w:div w:id="759526053">
          <w:marLeft w:val="0"/>
          <w:marRight w:val="0"/>
          <w:marTop w:val="0"/>
          <w:marBottom w:val="0"/>
          <w:divBdr>
            <w:top w:val="none" w:sz="0" w:space="0" w:color="auto"/>
            <w:left w:val="none" w:sz="0" w:space="0" w:color="auto"/>
            <w:bottom w:val="none" w:sz="0" w:space="0" w:color="auto"/>
            <w:right w:val="none" w:sz="0" w:space="0" w:color="auto"/>
          </w:divBdr>
        </w:div>
        <w:div w:id="808670367">
          <w:marLeft w:val="0"/>
          <w:marRight w:val="0"/>
          <w:marTop w:val="0"/>
          <w:marBottom w:val="0"/>
          <w:divBdr>
            <w:top w:val="none" w:sz="0" w:space="0" w:color="auto"/>
            <w:left w:val="none" w:sz="0" w:space="0" w:color="auto"/>
            <w:bottom w:val="none" w:sz="0" w:space="0" w:color="auto"/>
            <w:right w:val="none" w:sz="0" w:space="0" w:color="auto"/>
          </w:divBdr>
        </w:div>
        <w:div w:id="828597868">
          <w:marLeft w:val="0"/>
          <w:marRight w:val="0"/>
          <w:marTop w:val="0"/>
          <w:marBottom w:val="0"/>
          <w:divBdr>
            <w:top w:val="none" w:sz="0" w:space="0" w:color="auto"/>
            <w:left w:val="none" w:sz="0" w:space="0" w:color="auto"/>
            <w:bottom w:val="none" w:sz="0" w:space="0" w:color="auto"/>
            <w:right w:val="none" w:sz="0" w:space="0" w:color="auto"/>
          </w:divBdr>
        </w:div>
        <w:div w:id="892349045">
          <w:marLeft w:val="0"/>
          <w:marRight w:val="0"/>
          <w:marTop w:val="0"/>
          <w:marBottom w:val="0"/>
          <w:divBdr>
            <w:top w:val="none" w:sz="0" w:space="0" w:color="auto"/>
            <w:left w:val="none" w:sz="0" w:space="0" w:color="auto"/>
            <w:bottom w:val="none" w:sz="0" w:space="0" w:color="auto"/>
            <w:right w:val="none" w:sz="0" w:space="0" w:color="auto"/>
          </w:divBdr>
        </w:div>
        <w:div w:id="1043947457">
          <w:marLeft w:val="0"/>
          <w:marRight w:val="0"/>
          <w:marTop w:val="0"/>
          <w:marBottom w:val="0"/>
          <w:divBdr>
            <w:top w:val="none" w:sz="0" w:space="0" w:color="auto"/>
            <w:left w:val="none" w:sz="0" w:space="0" w:color="auto"/>
            <w:bottom w:val="none" w:sz="0" w:space="0" w:color="auto"/>
            <w:right w:val="none" w:sz="0" w:space="0" w:color="auto"/>
          </w:divBdr>
        </w:div>
        <w:div w:id="1317105138">
          <w:marLeft w:val="0"/>
          <w:marRight w:val="0"/>
          <w:marTop w:val="0"/>
          <w:marBottom w:val="0"/>
          <w:divBdr>
            <w:top w:val="none" w:sz="0" w:space="0" w:color="auto"/>
            <w:left w:val="none" w:sz="0" w:space="0" w:color="auto"/>
            <w:bottom w:val="none" w:sz="0" w:space="0" w:color="auto"/>
            <w:right w:val="none" w:sz="0" w:space="0" w:color="auto"/>
          </w:divBdr>
        </w:div>
        <w:div w:id="1382248569">
          <w:marLeft w:val="0"/>
          <w:marRight w:val="0"/>
          <w:marTop w:val="0"/>
          <w:marBottom w:val="0"/>
          <w:divBdr>
            <w:top w:val="none" w:sz="0" w:space="0" w:color="auto"/>
            <w:left w:val="none" w:sz="0" w:space="0" w:color="auto"/>
            <w:bottom w:val="none" w:sz="0" w:space="0" w:color="auto"/>
            <w:right w:val="none" w:sz="0" w:space="0" w:color="auto"/>
          </w:divBdr>
        </w:div>
        <w:div w:id="1584602192">
          <w:marLeft w:val="0"/>
          <w:marRight w:val="0"/>
          <w:marTop w:val="0"/>
          <w:marBottom w:val="0"/>
          <w:divBdr>
            <w:top w:val="none" w:sz="0" w:space="0" w:color="auto"/>
            <w:left w:val="none" w:sz="0" w:space="0" w:color="auto"/>
            <w:bottom w:val="none" w:sz="0" w:space="0" w:color="auto"/>
            <w:right w:val="none" w:sz="0" w:space="0" w:color="auto"/>
          </w:divBdr>
        </w:div>
        <w:div w:id="1653100107">
          <w:marLeft w:val="0"/>
          <w:marRight w:val="0"/>
          <w:marTop w:val="0"/>
          <w:marBottom w:val="0"/>
          <w:divBdr>
            <w:top w:val="none" w:sz="0" w:space="0" w:color="auto"/>
            <w:left w:val="none" w:sz="0" w:space="0" w:color="auto"/>
            <w:bottom w:val="none" w:sz="0" w:space="0" w:color="auto"/>
            <w:right w:val="none" w:sz="0" w:space="0" w:color="auto"/>
          </w:divBdr>
        </w:div>
        <w:div w:id="1706366938">
          <w:marLeft w:val="0"/>
          <w:marRight w:val="0"/>
          <w:marTop w:val="0"/>
          <w:marBottom w:val="0"/>
          <w:divBdr>
            <w:top w:val="none" w:sz="0" w:space="0" w:color="auto"/>
            <w:left w:val="none" w:sz="0" w:space="0" w:color="auto"/>
            <w:bottom w:val="none" w:sz="0" w:space="0" w:color="auto"/>
            <w:right w:val="none" w:sz="0" w:space="0" w:color="auto"/>
          </w:divBdr>
        </w:div>
        <w:div w:id="1842160670">
          <w:marLeft w:val="0"/>
          <w:marRight w:val="0"/>
          <w:marTop w:val="0"/>
          <w:marBottom w:val="0"/>
          <w:divBdr>
            <w:top w:val="none" w:sz="0" w:space="0" w:color="auto"/>
            <w:left w:val="none" w:sz="0" w:space="0" w:color="auto"/>
            <w:bottom w:val="none" w:sz="0" w:space="0" w:color="auto"/>
            <w:right w:val="none" w:sz="0" w:space="0" w:color="auto"/>
          </w:divBdr>
        </w:div>
        <w:div w:id="1879665046">
          <w:marLeft w:val="0"/>
          <w:marRight w:val="0"/>
          <w:marTop w:val="0"/>
          <w:marBottom w:val="0"/>
          <w:divBdr>
            <w:top w:val="none" w:sz="0" w:space="0" w:color="auto"/>
            <w:left w:val="none" w:sz="0" w:space="0" w:color="auto"/>
            <w:bottom w:val="none" w:sz="0" w:space="0" w:color="auto"/>
            <w:right w:val="none" w:sz="0" w:space="0" w:color="auto"/>
          </w:divBdr>
        </w:div>
        <w:div w:id="2000380788">
          <w:marLeft w:val="0"/>
          <w:marRight w:val="0"/>
          <w:marTop w:val="0"/>
          <w:marBottom w:val="0"/>
          <w:divBdr>
            <w:top w:val="none" w:sz="0" w:space="0" w:color="auto"/>
            <w:left w:val="none" w:sz="0" w:space="0" w:color="auto"/>
            <w:bottom w:val="none" w:sz="0" w:space="0" w:color="auto"/>
            <w:right w:val="none" w:sz="0" w:space="0" w:color="auto"/>
          </w:divBdr>
        </w:div>
      </w:divsChild>
    </w:div>
    <w:div w:id="719405446">
      <w:bodyDiv w:val="1"/>
      <w:marLeft w:val="0"/>
      <w:marRight w:val="0"/>
      <w:marTop w:val="0"/>
      <w:marBottom w:val="0"/>
      <w:divBdr>
        <w:top w:val="none" w:sz="0" w:space="0" w:color="auto"/>
        <w:left w:val="none" w:sz="0" w:space="0" w:color="auto"/>
        <w:bottom w:val="none" w:sz="0" w:space="0" w:color="auto"/>
        <w:right w:val="none" w:sz="0" w:space="0" w:color="auto"/>
      </w:divBdr>
      <w:divsChild>
        <w:div w:id="1775402046">
          <w:marLeft w:val="0"/>
          <w:marRight w:val="0"/>
          <w:marTop w:val="0"/>
          <w:marBottom w:val="0"/>
          <w:divBdr>
            <w:top w:val="none" w:sz="0" w:space="0" w:color="auto"/>
            <w:left w:val="none" w:sz="0" w:space="0" w:color="auto"/>
            <w:bottom w:val="none" w:sz="0" w:space="0" w:color="auto"/>
            <w:right w:val="none" w:sz="0" w:space="0" w:color="auto"/>
          </w:divBdr>
        </w:div>
        <w:div w:id="1959411110">
          <w:marLeft w:val="0"/>
          <w:marRight w:val="0"/>
          <w:marTop w:val="0"/>
          <w:marBottom w:val="0"/>
          <w:divBdr>
            <w:top w:val="none" w:sz="0" w:space="0" w:color="auto"/>
            <w:left w:val="none" w:sz="0" w:space="0" w:color="auto"/>
            <w:bottom w:val="none" w:sz="0" w:space="0" w:color="auto"/>
            <w:right w:val="none" w:sz="0" w:space="0" w:color="auto"/>
          </w:divBdr>
        </w:div>
      </w:divsChild>
    </w:div>
    <w:div w:id="813713450">
      <w:bodyDiv w:val="1"/>
      <w:marLeft w:val="0"/>
      <w:marRight w:val="0"/>
      <w:marTop w:val="0"/>
      <w:marBottom w:val="0"/>
      <w:divBdr>
        <w:top w:val="none" w:sz="0" w:space="0" w:color="auto"/>
        <w:left w:val="none" w:sz="0" w:space="0" w:color="auto"/>
        <w:bottom w:val="none" w:sz="0" w:space="0" w:color="auto"/>
        <w:right w:val="none" w:sz="0" w:space="0" w:color="auto"/>
      </w:divBdr>
      <w:divsChild>
        <w:div w:id="359937459">
          <w:marLeft w:val="0"/>
          <w:marRight w:val="0"/>
          <w:marTop w:val="0"/>
          <w:marBottom w:val="0"/>
          <w:divBdr>
            <w:top w:val="none" w:sz="0" w:space="0" w:color="auto"/>
            <w:left w:val="none" w:sz="0" w:space="0" w:color="auto"/>
            <w:bottom w:val="none" w:sz="0" w:space="0" w:color="auto"/>
            <w:right w:val="none" w:sz="0" w:space="0" w:color="auto"/>
          </w:divBdr>
        </w:div>
        <w:div w:id="455951349">
          <w:marLeft w:val="0"/>
          <w:marRight w:val="0"/>
          <w:marTop w:val="0"/>
          <w:marBottom w:val="0"/>
          <w:divBdr>
            <w:top w:val="none" w:sz="0" w:space="0" w:color="auto"/>
            <w:left w:val="none" w:sz="0" w:space="0" w:color="auto"/>
            <w:bottom w:val="none" w:sz="0" w:space="0" w:color="auto"/>
            <w:right w:val="none" w:sz="0" w:space="0" w:color="auto"/>
          </w:divBdr>
        </w:div>
      </w:divsChild>
    </w:div>
    <w:div w:id="824202965">
      <w:bodyDiv w:val="1"/>
      <w:marLeft w:val="0"/>
      <w:marRight w:val="0"/>
      <w:marTop w:val="0"/>
      <w:marBottom w:val="0"/>
      <w:divBdr>
        <w:top w:val="none" w:sz="0" w:space="0" w:color="auto"/>
        <w:left w:val="none" w:sz="0" w:space="0" w:color="auto"/>
        <w:bottom w:val="none" w:sz="0" w:space="0" w:color="auto"/>
        <w:right w:val="none" w:sz="0" w:space="0" w:color="auto"/>
      </w:divBdr>
    </w:div>
    <w:div w:id="932780258">
      <w:bodyDiv w:val="1"/>
      <w:marLeft w:val="0"/>
      <w:marRight w:val="0"/>
      <w:marTop w:val="0"/>
      <w:marBottom w:val="0"/>
      <w:divBdr>
        <w:top w:val="none" w:sz="0" w:space="0" w:color="auto"/>
        <w:left w:val="none" w:sz="0" w:space="0" w:color="auto"/>
        <w:bottom w:val="none" w:sz="0" w:space="0" w:color="auto"/>
        <w:right w:val="none" w:sz="0" w:space="0" w:color="auto"/>
      </w:divBdr>
      <w:divsChild>
        <w:div w:id="782725836">
          <w:marLeft w:val="0"/>
          <w:marRight w:val="0"/>
          <w:marTop w:val="0"/>
          <w:marBottom w:val="0"/>
          <w:divBdr>
            <w:top w:val="none" w:sz="0" w:space="0" w:color="auto"/>
            <w:left w:val="none" w:sz="0" w:space="0" w:color="auto"/>
            <w:bottom w:val="none" w:sz="0" w:space="0" w:color="auto"/>
            <w:right w:val="none" w:sz="0" w:space="0" w:color="auto"/>
          </w:divBdr>
        </w:div>
        <w:div w:id="857505473">
          <w:marLeft w:val="0"/>
          <w:marRight w:val="0"/>
          <w:marTop w:val="0"/>
          <w:marBottom w:val="0"/>
          <w:divBdr>
            <w:top w:val="none" w:sz="0" w:space="0" w:color="auto"/>
            <w:left w:val="none" w:sz="0" w:space="0" w:color="auto"/>
            <w:bottom w:val="none" w:sz="0" w:space="0" w:color="auto"/>
            <w:right w:val="none" w:sz="0" w:space="0" w:color="auto"/>
          </w:divBdr>
        </w:div>
        <w:div w:id="1160775375">
          <w:marLeft w:val="0"/>
          <w:marRight w:val="0"/>
          <w:marTop w:val="0"/>
          <w:marBottom w:val="0"/>
          <w:divBdr>
            <w:top w:val="none" w:sz="0" w:space="0" w:color="auto"/>
            <w:left w:val="none" w:sz="0" w:space="0" w:color="auto"/>
            <w:bottom w:val="none" w:sz="0" w:space="0" w:color="auto"/>
            <w:right w:val="none" w:sz="0" w:space="0" w:color="auto"/>
          </w:divBdr>
        </w:div>
        <w:div w:id="1432242953">
          <w:marLeft w:val="0"/>
          <w:marRight w:val="0"/>
          <w:marTop w:val="0"/>
          <w:marBottom w:val="0"/>
          <w:divBdr>
            <w:top w:val="none" w:sz="0" w:space="0" w:color="auto"/>
            <w:left w:val="none" w:sz="0" w:space="0" w:color="auto"/>
            <w:bottom w:val="none" w:sz="0" w:space="0" w:color="auto"/>
            <w:right w:val="none" w:sz="0" w:space="0" w:color="auto"/>
          </w:divBdr>
        </w:div>
      </w:divsChild>
    </w:div>
    <w:div w:id="1000699029">
      <w:bodyDiv w:val="1"/>
      <w:marLeft w:val="0"/>
      <w:marRight w:val="0"/>
      <w:marTop w:val="0"/>
      <w:marBottom w:val="0"/>
      <w:divBdr>
        <w:top w:val="none" w:sz="0" w:space="0" w:color="auto"/>
        <w:left w:val="none" w:sz="0" w:space="0" w:color="auto"/>
        <w:bottom w:val="none" w:sz="0" w:space="0" w:color="auto"/>
        <w:right w:val="none" w:sz="0" w:space="0" w:color="auto"/>
      </w:divBdr>
      <w:divsChild>
        <w:div w:id="130634682">
          <w:marLeft w:val="0"/>
          <w:marRight w:val="0"/>
          <w:marTop w:val="0"/>
          <w:marBottom w:val="0"/>
          <w:divBdr>
            <w:top w:val="none" w:sz="0" w:space="0" w:color="auto"/>
            <w:left w:val="none" w:sz="0" w:space="0" w:color="auto"/>
            <w:bottom w:val="none" w:sz="0" w:space="0" w:color="auto"/>
            <w:right w:val="none" w:sz="0" w:space="0" w:color="auto"/>
          </w:divBdr>
        </w:div>
        <w:div w:id="223877637">
          <w:marLeft w:val="0"/>
          <w:marRight w:val="0"/>
          <w:marTop w:val="0"/>
          <w:marBottom w:val="0"/>
          <w:divBdr>
            <w:top w:val="none" w:sz="0" w:space="0" w:color="auto"/>
            <w:left w:val="none" w:sz="0" w:space="0" w:color="auto"/>
            <w:bottom w:val="none" w:sz="0" w:space="0" w:color="auto"/>
            <w:right w:val="none" w:sz="0" w:space="0" w:color="auto"/>
          </w:divBdr>
        </w:div>
        <w:div w:id="326638259">
          <w:marLeft w:val="-75"/>
          <w:marRight w:val="0"/>
          <w:marTop w:val="30"/>
          <w:marBottom w:val="30"/>
          <w:divBdr>
            <w:top w:val="none" w:sz="0" w:space="0" w:color="auto"/>
            <w:left w:val="none" w:sz="0" w:space="0" w:color="auto"/>
            <w:bottom w:val="none" w:sz="0" w:space="0" w:color="auto"/>
            <w:right w:val="none" w:sz="0" w:space="0" w:color="auto"/>
          </w:divBdr>
          <w:divsChild>
            <w:div w:id="25907940">
              <w:marLeft w:val="0"/>
              <w:marRight w:val="0"/>
              <w:marTop w:val="0"/>
              <w:marBottom w:val="0"/>
              <w:divBdr>
                <w:top w:val="none" w:sz="0" w:space="0" w:color="auto"/>
                <w:left w:val="none" w:sz="0" w:space="0" w:color="auto"/>
                <w:bottom w:val="none" w:sz="0" w:space="0" w:color="auto"/>
                <w:right w:val="none" w:sz="0" w:space="0" w:color="auto"/>
              </w:divBdr>
              <w:divsChild>
                <w:div w:id="478376304">
                  <w:marLeft w:val="0"/>
                  <w:marRight w:val="0"/>
                  <w:marTop w:val="0"/>
                  <w:marBottom w:val="0"/>
                  <w:divBdr>
                    <w:top w:val="none" w:sz="0" w:space="0" w:color="auto"/>
                    <w:left w:val="none" w:sz="0" w:space="0" w:color="auto"/>
                    <w:bottom w:val="none" w:sz="0" w:space="0" w:color="auto"/>
                    <w:right w:val="none" w:sz="0" w:space="0" w:color="auto"/>
                  </w:divBdr>
                </w:div>
              </w:divsChild>
            </w:div>
            <w:div w:id="250239128">
              <w:marLeft w:val="0"/>
              <w:marRight w:val="0"/>
              <w:marTop w:val="0"/>
              <w:marBottom w:val="0"/>
              <w:divBdr>
                <w:top w:val="none" w:sz="0" w:space="0" w:color="auto"/>
                <w:left w:val="none" w:sz="0" w:space="0" w:color="auto"/>
                <w:bottom w:val="none" w:sz="0" w:space="0" w:color="auto"/>
                <w:right w:val="none" w:sz="0" w:space="0" w:color="auto"/>
              </w:divBdr>
              <w:divsChild>
                <w:div w:id="1095785335">
                  <w:marLeft w:val="0"/>
                  <w:marRight w:val="0"/>
                  <w:marTop w:val="0"/>
                  <w:marBottom w:val="0"/>
                  <w:divBdr>
                    <w:top w:val="none" w:sz="0" w:space="0" w:color="auto"/>
                    <w:left w:val="none" w:sz="0" w:space="0" w:color="auto"/>
                    <w:bottom w:val="none" w:sz="0" w:space="0" w:color="auto"/>
                    <w:right w:val="none" w:sz="0" w:space="0" w:color="auto"/>
                  </w:divBdr>
                </w:div>
              </w:divsChild>
            </w:div>
            <w:div w:id="253826658">
              <w:marLeft w:val="0"/>
              <w:marRight w:val="0"/>
              <w:marTop w:val="0"/>
              <w:marBottom w:val="0"/>
              <w:divBdr>
                <w:top w:val="none" w:sz="0" w:space="0" w:color="auto"/>
                <w:left w:val="none" w:sz="0" w:space="0" w:color="auto"/>
                <w:bottom w:val="none" w:sz="0" w:space="0" w:color="auto"/>
                <w:right w:val="none" w:sz="0" w:space="0" w:color="auto"/>
              </w:divBdr>
              <w:divsChild>
                <w:div w:id="1605840272">
                  <w:marLeft w:val="0"/>
                  <w:marRight w:val="0"/>
                  <w:marTop w:val="0"/>
                  <w:marBottom w:val="0"/>
                  <w:divBdr>
                    <w:top w:val="none" w:sz="0" w:space="0" w:color="auto"/>
                    <w:left w:val="none" w:sz="0" w:space="0" w:color="auto"/>
                    <w:bottom w:val="none" w:sz="0" w:space="0" w:color="auto"/>
                    <w:right w:val="none" w:sz="0" w:space="0" w:color="auto"/>
                  </w:divBdr>
                </w:div>
              </w:divsChild>
            </w:div>
            <w:div w:id="526875212">
              <w:marLeft w:val="0"/>
              <w:marRight w:val="0"/>
              <w:marTop w:val="0"/>
              <w:marBottom w:val="0"/>
              <w:divBdr>
                <w:top w:val="none" w:sz="0" w:space="0" w:color="auto"/>
                <w:left w:val="none" w:sz="0" w:space="0" w:color="auto"/>
                <w:bottom w:val="none" w:sz="0" w:space="0" w:color="auto"/>
                <w:right w:val="none" w:sz="0" w:space="0" w:color="auto"/>
              </w:divBdr>
              <w:divsChild>
                <w:div w:id="300119089">
                  <w:marLeft w:val="0"/>
                  <w:marRight w:val="0"/>
                  <w:marTop w:val="0"/>
                  <w:marBottom w:val="0"/>
                  <w:divBdr>
                    <w:top w:val="none" w:sz="0" w:space="0" w:color="auto"/>
                    <w:left w:val="none" w:sz="0" w:space="0" w:color="auto"/>
                    <w:bottom w:val="none" w:sz="0" w:space="0" w:color="auto"/>
                    <w:right w:val="none" w:sz="0" w:space="0" w:color="auto"/>
                  </w:divBdr>
                </w:div>
              </w:divsChild>
            </w:div>
            <w:div w:id="721292285">
              <w:marLeft w:val="0"/>
              <w:marRight w:val="0"/>
              <w:marTop w:val="0"/>
              <w:marBottom w:val="0"/>
              <w:divBdr>
                <w:top w:val="none" w:sz="0" w:space="0" w:color="auto"/>
                <w:left w:val="none" w:sz="0" w:space="0" w:color="auto"/>
                <w:bottom w:val="none" w:sz="0" w:space="0" w:color="auto"/>
                <w:right w:val="none" w:sz="0" w:space="0" w:color="auto"/>
              </w:divBdr>
              <w:divsChild>
                <w:div w:id="1081759754">
                  <w:marLeft w:val="0"/>
                  <w:marRight w:val="0"/>
                  <w:marTop w:val="0"/>
                  <w:marBottom w:val="0"/>
                  <w:divBdr>
                    <w:top w:val="none" w:sz="0" w:space="0" w:color="auto"/>
                    <w:left w:val="none" w:sz="0" w:space="0" w:color="auto"/>
                    <w:bottom w:val="none" w:sz="0" w:space="0" w:color="auto"/>
                    <w:right w:val="none" w:sz="0" w:space="0" w:color="auto"/>
                  </w:divBdr>
                </w:div>
              </w:divsChild>
            </w:div>
            <w:div w:id="766774789">
              <w:marLeft w:val="0"/>
              <w:marRight w:val="0"/>
              <w:marTop w:val="0"/>
              <w:marBottom w:val="0"/>
              <w:divBdr>
                <w:top w:val="none" w:sz="0" w:space="0" w:color="auto"/>
                <w:left w:val="none" w:sz="0" w:space="0" w:color="auto"/>
                <w:bottom w:val="none" w:sz="0" w:space="0" w:color="auto"/>
                <w:right w:val="none" w:sz="0" w:space="0" w:color="auto"/>
              </w:divBdr>
              <w:divsChild>
                <w:div w:id="247467937">
                  <w:marLeft w:val="0"/>
                  <w:marRight w:val="0"/>
                  <w:marTop w:val="0"/>
                  <w:marBottom w:val="0"/>
                  <w:divBdr>
                    <w:top w:val="none" w:sz="0" w:space="0" w:color="auto"/>
                    <w:left w:val="none" w:sz="0" w:space="0" w:color="auto"/>
                    <w:bottom w:val="none" w:sz="0" w:space="0" w:color="auto"/>
                    <w:right w:val="none" w:sz="0" w:space="0" w:color="auto"/>
                  </w:divBdr>
                </w:div>
              </w:divsChild>
            </w:div>
            <w:div w:id="1234699201">
              <w:marLeft w:val="0"/>
              <w:marRight w:val="0"/>
              <w:marTop w:val="0"/>
              <w:marBottom w:val="0"/>
              <w:divBdr>
                <w:top w:val="none" w:sz="0" w:space="0" w:color="auto"/>
                <w:left w:val="none" w:sz="0" w:space="0" w:color="auto"/>
                <w:bottom w:val="none" w:sz="0" w:space="0" w:color="auto"/>
                <w:right w:val="none" w:sz="0" w:space="0" w:color="auto"/>
              </w:divBdr>
              <w:divsChild>
                <w:div w:id="1701543653">
                  <w:marLeft w:val="0"/>
                  <w:marRight w:val="0"/>
                  <w:marTop w:val="0"/>
                  <w:marBottom w:val="0"/>
                  <w:divBdr>
                    <w:top w:val="none" w:sz="0" w:space="0" w:color="auto"/>
                    <w:left w:val="none" w:sz="0" w:space="0" w:color="auto"/>
                    <w:bottom w:val="none" w:sz="0" w:space="0" w:color="auto"/>
                    <w:right w:val="none" w:sz="0" w:space="0" w:color="auto"/>
                  </w:divBdr>
                </w:div>
              </w:divsChild>
            </w:div>
            <w:div w:id="1405756722">
              <w:marLeft w:val="0"/>
              <w:marRight w:val="0"/>
              <w:marTop w:val="0"/>
              <w:marBottom w:val="0"/>
              <w:divBdr>
                <w:top w:val="none" w:sz="0" w:space="0" w:color="auto"/>
                <w:left w:val="none" w:sz="0" w:space="0" w:color="auto"/>
                <w:bottom w:val="none" w:sz="0" w:space="0" w:color="auto"/>
                <w:right w:val="none" w:sz="0" w:space="0" w:color="auto"/>
              </w:divBdr>
              <w:divsChild>
                <w:div w:id="1804884120">
                  <w:marLeft w:val="0"/>
                  <w:marRight w:val="0"/>
                  <w:marTop w:val="0"/>
                  <w:marBottom w:val="0"/>
                  <w:divBdr>
                    <w:top w:val="none" w:sz="0" w:space="0" w:color="auto"/>
                    <w:left w:val="none" w:sz="0" w:space="0" w:color="auto"/>
                    <w:bottom w:val="none" w:sz="0" w:space="0" w:color="auto"/>
                    <w:right w:val="none" w:sz="0" w:space="0" w:color="auto"/>
                  </w:divBdr>
                </w:div>
              </w:divsChild>
            </w:div>
            <w:div w:id="1505634015">
              <w:marLeft w:val="0"/>
              <w:marRight w:val="0"/>
              <w:marTop w:val="0"/>
              <w:marBottom w:val="0"/>
              <w:divBdr>
                <w:top w:val="none" w:sz="0" w:space="0" w:color="auto"/>
                <w:left w:val="none" w:sz="0" w:space="0" w:color="auto"/>
                <w:bottom w:val="none" w:sz="0" w:space="0" w:color="auto"/>
                <w:right w:val="none" w:sz="0" w:space="0" w:color="auto"/>
              </w:divBdr>
              <w:divsChild>
                <w:div w:id="1583831939">
                  <w:marLeft w:val="0"/>
                  <w:marRight w:val="0"/>
                  <w:marTop w:val="0"/>
                  <w:marBottom w:val="0"/>
                  <w:divBdr>
                    <w:top w:val="none" w:sz="0" w:space="0" w:color="auto"/>
                    <w:left w:val="none" w:sz="0" w:space="0" w:color="auto"/>
                    <w:bottom w:val="none" w:sz="0" w:space="0" w:color="auto"/>
                    <w:right w:val="none" w:sz="0" w:space="0" w:color="auto"/>
                  </w:divBdr>
                </w:div>
              </w:divsChild>
            </w:div>
            <w:div w:id="1637177197">
              <w:marLeft w:val="0"/>
              <w:marRight w:val="0"/>
              <w:marTop w:val="0"/>
              <w:marBottom w:val="0"/>
              <w:divBdr>
                <w:top w:val="none" w:sz="0" w:space="0" w:color="auto"/>
                <w:left w:val="none" w:sz="0" w:space="0" w:color="auto"/>
                <w:bottom w:val="none" w:sz="0" w:space="0" w:color="auto"/>
                <w:right w:val="none" w:sz="0" w:space="0" w:color="auto"/>
              </w:divBdr>
              <w:divsChild>
                <w:div w:id="1417440319">
                  <w:marLeft w:val="0"/>
                  <w:marRight w:val="0"/>
                  <w:marTop w:val="0"/>
                  <w:marBottom w:val="0"/>
                  <w:divBdr>
                    <w:top w:val="none" w:sz="0" w:space="0" w:color="auto"/>
                    <w:left w:val="none" w:sz="0" w:space="0" w:color="auto"/>
                    <w:bottom w:val="none" w:sz="0" w:space="0" w:color="auto"/>
                    <w:right w:val="none" w:sz="0" w:space="0" w:color="auto"/>
                  </w:divBdr>
                </w:div>
              </w:divsChild>
            </w:div>
            <w:div w:id="1719937731">
              <w:marLeft w:val="0"/>
              <w:marRight w:val="0"/>
              <w:marTop w:val="0"/>
              <w:marBottom w:val="0"/>
              <w:divBdr>
                <w:top w:val="none" w:sz="0" w:space="0" w:color="auto"/>
                <w:left w:val="none" w:sz="0" w:space="0" w:color="auto"/>
                <w:bottom w:val="none" w:sz="0" w:space="0" w:color="auto"/>
                <w:right w:val="none" w:sz="0" w:space="0" w:color="auto"/>
              </w:divBdr>
              <w:divsChild>
                <w:div w:id="39863013">
                  <w:marLeft w:val="0"/>
                  <w:marRight w:val="0"/>
                  <w:marTop w:val="0"/>
                  <w:marBottom w:val="0"/>
                  <w:divBdr>
                    <w:top w:val="none" w:sz="0" w:space="0" w:color="auto"/>
                    <w:left w:val="none" w:sz="0" w:space="0" w:color="auto"/>
                    <w:bottom w:val="none" w:sz="0" w:space="0" w:color="auto"/>
                    <w:right w:val="none" w:sz="0" w:space="0" w:color="auto"/>
                  </w:divBdr>
                </w:div>
              </w:divsChild>
            </w:div>
            <w:div w:id="1849902092">
              <w:marLeft w:val="0"/>
              <w:marRight w:val="0"/>
              <w:marTop w:val="0"/>
              <w:marBottom w:val="0"/>
              <w:divBdr>
                <w:top w:val="none" w:sz="0" w:space="0" w:color="auto"/>
                <w:left w:val="none" w:sz="0" w:space="0" w:color="auto"/>
                <w:bottom w:val="none" w:sz="0" w:space="0" w:color="auto"/>
                <w:right w:val="none" w:sz="0" w:space="0" w:color="auto"/>
              </w:divBdr>
              <w:divsChild>
                <w:div w:id="213464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94336">
          <w:marLeft w:val="0"/>
          <w:marRight w:val="0"/>
          <w:marTop w:val="0"/>
          <w:marBottom w:val="0"/>
          <w:divBdr>
            <w:top w:val="none" w:sz="0" w:space="0" w:color="auto"/>
            <w:left w:val="none" w:sz="0" w:space="0" w:color="auto"/>
            <w:bottom w:val="none" w:sz="0" w:space="0" w:color="auto"/>
            <w:right w:val="none" w:sz="0" w:space="0" w:color="auto"/>
          </w:divBdr>
        </w:div>
        <w:div w:id="672495840">
          <w:marLeft w:val="0"/>
          <w:marRight w:val="0"/>
          <w:marTop w:val="0"/>
          <w:marBottom w:val="0"/>
          <w:divBdr>
            <w:top w:val="none" w:sz="0" w:space="0" w:color="auto"/>
            <w:left w:val="none" w:sz="0" w:space="0" w:color="auto"/>
            <w:bottom w:val="none" w:sz="0" w:space="0" w:color="auto"/>
            <w:right w:val="none" w:sz="0" w:space="0" w:color="auto"/>
          </w:divBdr>
        </w:div>
        <w:div w:id="1061098744">
          <w:marLeft w:val="0"/>
          <w:marRight w:val="0"/>
          <w:marTop w:val="0"/>
          <w:marBottom w:val="0"/>
          <w:divBdr>
            <w:top w:val="none" w:sz="0" w:space="0" w:color="auto"/>
            <w:left w:val="none" w:sz="0" w:space="0" w:color="auto"/>
            <w:bottom w:val="none" w:sz="0" w:space="0" w:color="auto"/>
            <w:right w:val="none" w:sz="0" w:space="0" w:color="auto"/>
          </w:divBdr>
        </w:div>
        <w:div w:id="1530485574">
          <w:marLeft w:val="0"/>
          <w:marRight w:val="0"/>
          <w:marTop w:val="0"/>
          <w:marBottom w:val="0"/>
          <w:divBdr>
            <w:top w:val="none" w:sz="0" w:space="0" w:color="auto"/>
            <w:left w:val="none" w:sz="0" w:space="0" w:color="auto"/>
            <w:bottom w:val="none" w:sz="0" w:space="0" w:color="auto"/>
            <w:right w:val="none" w:sz="0" w:space="0" w:color="auto"/>
          </w:divBdr>
        </w:div>
        <w:div w:id="1620601105">
          <w:marLeft w:val="0"/>
          <w:marRight w:val="0"/>
          <w:marTop w:val="0"/>
          <w:marBottom w:val="0"/>
          <w:divBdr>
            <w:top w:val="none" w:sz="0" w:space="0" w:color="auto"/>
            <w:left w:val="none" w:sz="0" w:space="0" w:color="auto"/>
            <w:bottom w:val="none" w:sz="0" w:space="0" w:color="auto"/>
            <w:right w:val="none" w:sz="0" w:space="0" w:color="auto"/>
          </w:divBdr>
        </w:div>
        <w:div w:id="1623728844">
          <w:marLeft w:val="0"/>
          <w:marRight w:val="0"/>
          <w:marTop w:val="0"/>
          <w:marBottom w:val="0"/>
          <w:divBdr>
            <w:top w:val="none" w:sz="0" w:space="0" w:color="auto"/>
            <w:left w:val="none" w:sz="0" w:space="0" w:color="auto"/>
            <w:bottom w:val="none" w:sz="0" w:space="0" w:color="auto"/>
            <w:right w:val="none" w:sz="0" w:space="0" w:color="auto"/>
          </w:divBdr>
        </w:div>
        <w:div w:id="1982419673">
          <w:marLeft w:val="0"/>
          <w:marRight w:val="0"/>
          <w:marTop w:val="0"/>
          <w:marBottom w:val="0"/>
          <w:divBdr>
            <w:top w:val="none" w:sz="0" w:space="0" w:color="auto"/>
            <w:left w:val="none" w:sz="0" w:space="0" w:color="auto"/>
            <w:bottom w:val="none" w:sz="0" w:space="0" w:color="auto"/>
            <w:right w:val="none" w:sz="0" w:space="0" w:color="auto"/>
          </w:divBdr>
        </w:div>
        <w:div w:id="2092388641">
          <w:marLeft w:val="0"/>
          <w:marRight w:val="0"/>
          <w:marTop w:val="0"/>
          <w:marBottom w:val="0"/>
          <w:divBdr>
            <w:top w:val="none" w:sz="0" w:space="0" w:color="auto"/>
            <w:left w:val="none" w:sz="0" w:space="0" w:color="auto"/>
            <w:bottom w:val="none" w:sz="0" w:space="0" w:color="auto"/>
            <w:right w:val="none" w:sz="0" w:space="0" w:color="auto"/>
          </w:divBdr>
        </w:div>
        <w:div w:id="2123379474">
          <w:marLeft w:val="0"/>
          <w:marRight w:val="0"/>
          <w:marTop w:val="0"/>
          <w:marBottom w:val="0"/>
          <w:divBdr>
            <w:top w:val="none" w:sz="0" w:space="0" w:color="auto"/>
            <w:left w:val="none" w:sz="0" w:space="0" w:color="auto"/>
            <w:bottom w:val="none" w:sz="0" w:space="0" w:color="auto"/>
            <w:right w:val="none" w:sz="0" w:space="0" w:color="auto"/>
          </w:divBdr>
        </w:div>
      </w:divsChild>
    </w:div>
    <w:div w:id="1015764998">
      <w:bodyDiv w:val="1"/>
      <w:marLeft w:val="0"/>
      <w:marRight w:val="0"/>
      <w:marTop w:val="0"/>
      <w:marBottom w:val="0"/>
      <w:divBdr>
        <w:top w:val="none" w:sz="0" w:space="0" w:color="auto"/>
        <w:left w:val="none" w:sz="0" w:space="0" w:color="auto"/>
        <w:bottom w:val="none" w:sz="0" w:space="0" w:color="auto"/>
        <w:right w:val="none" w:sz="0" w:space="0" w:color="auto"/>
      </w:divBdr>
    </w:div>
    <w:div w:id="1052968567">
      <w:bodyDiv w:val="1"/>
      <w:marLeft w:val="0"/>
      <w:marRight w:val="0"/>
      <w:marTop w:val="0"/>
      <w:marBottom w:val="0"/>
      <w:divBdr>
        <w:top w:val="none" w:sz="0" w:space="0" w:color="auto"/>
        <w:left w:val="none" w:sz="0" w:space="0" w:color="auto"/>
        <w:bottom w:val="none" w:sz="0" w:space="0" w:color="auto"/>
        <w:right w:val="none" w:sz="0" w:space="0" w:color="auto"/>
      </w:divBdr>
      <w:divsChild>
        <w:div w:id="124547992">
          <w:marLeft w:val="0"/>
          <w:marRight w:val="0"/>
          <w:marTop w:val="0"/>
          <w:marBottom w:val="0"/>
          <w:divBdr>
            <w:top w:val="none" w:sz="0" w:space="0" w:color="auto"/>
            <w:left w:val="none" w:sz="0" w:space="0" w:color="auto"/>
            <w:bottom w:val="none" w:sz="0" w:space="0" w:color="auto"/>
            <w:right w:val="none" w:sz="0" w:space="0" w:color="auto"/>
          </w:divBdr>
        </w:div>
        <w:div w:id="299698088">
          <w:marLeft w:val="0"/>
          <w:marRight w:val="0"/>
          <w:marTop w:val="0"/>
          <w:marBottom w:val="0"/>
          <w:divBdr>
            <w:top w:val="none" w:sz="0" w:space="0" w:color="auto"/>
            <w:left w:val="none" w:sz="0" w:space="0" w:color="auto"/>
            <w:bottom w:val="none" w:sz="0" w:space="0" w:color="auto"/>
            <w:right w:val="none" w:sz="0" w:space="0" w:color="auto"/>
          </w:divBdr>
        </w:div>
        <w:div w:id="1201477569">
          <w:marLeft w:val="0"/>
          <w:marRight w:val="0"/>
          <w:marTop w:val="0"/>
          <w:marBottom w:val="0"/>
          <w:divBdr>
            <w:top w:val="none" w:sz="0" w:space="0" w:color="auto"/>
            <w:left w:val="none" w:sz="0" w:space="0" w:color="auto"/>
            <w:bottom w:val="none" w:sz="0" w:space="0" w:color="auto"/>
            <w:right w:val="none" w:sz="0" w:space="0" w:color="auto"/>
          </w:divBdr>
          <w:divsChild>
            <w:div w:id="1612735620">
              <w:marLeft w:val="-75"/>
              <w:marRight w:val="0"/>
              <w:marTop w:val="30"/>
              <w:marBottom w:val="30"/>
              <w:divBdr>
                <w:top w:val="none" w:sz="0" w:space="0" w:color="auto"/>
                <w:left w:val="none" w:sz="0" w:space="0" w:color="auto"/>
                <w:bottom w:val="none" w:sz="0" w:space="0" w:color="auto"/>
                <w:right w:val="none" w:sz="0" w:space="0" w:color="auto"/>
              </w:divBdr>
              <w:divsChild>
                <w:div w:id="86463537">
                  <w:marLeft w:val="0"/>
                  <w:marRight w:val="0"/>
                  <w:marTop w:val="0"/>
                  <w:marBottom w:val="0"/>
                  <w:divBdr>
                    <w:top w:val="none" w:sz="0" w:space="0" w:color="auto"/>
                    <w:left w:val="none" w:sz="0" w:space="0" w:color="auto"/>
                    <w:bottom w:val="none" w:sz="0" w:space="0" w:color="auto"/>
                    <w:right w:val="none" w:sz="0" w:space="0" w:color="auto"/>
                  </w:divBdr>
                  <w:divsChild>
                    <w:div w:id="38479271">
                      <w:marLeft w:val="0"/>
                      <w:marRight w:val="0"/>
                      <w:marTop w:val="0"/>
                      <w:marBottom w:val="0"/>
                      <w:divBdr>
                        <w:top w:val="none" w:sz="0" w:space="0" w:color="auto"/>
                        <w:left w:val="none" w:sz="0" w:space="0" w:color="auto"/>
                        <w:bottom w:val="none" w:sz="0" w:space="0" w:color="auto"/>
                        <w:right w:val="none" w:sz="0" w:space="0" w:color="auto"/>
                      </w:divBdr>
                    </w:div>
                  </w:divsChild>
                </w:div>
                <w:div w:id="189415558">
                  <w:marLeft w:val="0"/>
                  <w:marRight w:val="0"/>
                  <w:marTop w:val="0"/>
                  <w:marBottom w:val="0"/>
                  <w:divBdr>
                    <w:top w:val="none" w:sz="0" w:space="0" w:color="auto"/>
                    <w:left w:val="none" w:sz="0" w:space="0" w:color="auto"/>
                    <w:bottom w:val="none" w:sz="0" w:space="0" w:color="auto"/>
                    <w:right w:val="none" w:sz="0" w:space="0" w:color="auto"/>
                  </w:divBdr>
                  <w:divsChild>
                    <w:div w:id="162362630">
                      <w:marLeft w:val="0"/>
                      <w:marRight w:val="0"/>
                      <w:marTop w:val="0"/>
                      <w:marBottom w:val="0"/>
                      <w:divBdr>
                        <w:top w:val="none" w:sz="0" w:space="0" w:color="auto"/>
                        <w:left w:val="none" w:sz="0" w:space="0" w:color="auto"/>
                        <w:bottom w:val="none" w:sz="0" w:space="0" w:color="auto"/>
                        <w:right w:val="none" w:sz="0" w:space="0" w:color="auto"/>
                      </w:divBdr>
                    </w:div>
                  </w:divsChild>
                </w:div>
                <w:div w:id="357854135">
                  <w:marLeft w:val="0"/>
                  <w:marRight w:val="0"/>
                  <w:marTop w:val="0"/>
                  <w:marBottom w:val="0"/>
                  <w:divBdr>
                    <w:top w:val="none" w:sz="0" w:space="0" w:color="auto"/>
                    <w:left w:val="none" w:sz="0" w:space="0" w:color="auto"/>
                    <w:bottom w:val="none" w:sz="0" w:space="0" w:color="auto"/>
                    <w:right w:val="none" w:sz="0" w:space="0" w:color="auto"/>
                  </w:divBdr>
                  <w:divsChild>
                    <w:div w:id="137113677">
                      <w:marLeft w:val="0"/>
                      <w:marRight w:val="0"/>
                      <w:marTop w:val="0"/>
                      <w:marBottom w:val="0"/>
                      <w:divBdr>
                        <w:top w:val="none" w:sz="0" w:space="0" w:color="auto"/>
                        <w:left w:val="none" w:sz="0" w:space="0" w:color="auto"/>
                        <w:bottom w:val="none" w:sz="0" w:space="0" w:color="auto"/>
                        <w:right w:val="none" w:sz="0" w:space="0" w:color="auto"/>
                      </w:divBdr>
                    </w:div>
                  </w:divsChild>
                </w:div>
                <w:div w:id="466898510">
                  <w:marLeft w:val="0"/>
                  <w:marRight w:val="0"/>
                  <w:marTop w:val="0"/>
                  <w:marBottom w:val="0"/>
                  <w:divBdr>
                    <w:top w:val="none" w:sz="0" w:space="0" w:color="auto"/>
                    <w:left w:val="none" w:sz="0" w:space="0" w:color="auto"/>
                    <w:bottom w:val="none" w:sz="0" w:space="0" w:color="auto"/>
                    <w:right w:val="none" w:sz="0" w:space="0" w:color="auto"/>
                  </w:divBdr>
                  <w:divsChild>
                    <w:div w:id="741874303">
                      <w:marLeft w:val="0"/>
                      <w:marRight w:val="0"/>
                      <w:marTop w:val="0"/>
                      <w:marBottom w:val="0"/>
                      <w:divBdr>
                        <w:top w:val="none" w:sz="0" w:space="0" w:color="auto"/>
                        <w:left w:val="none" w:sz="0" w:space="0" w:color="auto"/>
                        <w:bottom w:val="none" w:sz="0" w:space="0" w:color="auto"/>
                        <w:right w:val="none" w:sz="0" w:space="0" w:color="auto"/>
                      </w:divBdr>
                    </w:div>
                  </w:divsChild>
                </w:div>
                <w:div w:id="509488824">
                  <w:marLeft w:val="0"/>
                  <w:marRight w:val="0"/>
                  <w:marTop w:val="0"/>
                  <w:marBottom w:val="0"/>
                  <w:divBdr>
                    <w:top w:val="none" w:sz="0" w:space="0" w:color="auto"/>
                    <w:left w:val="none" w:sz="0" w:space="0" w:color="auto"/>
                    <w:bottom w:val="none" w:sz="0" w:space="0" w:color="auto"/>
                    <w:right w:val="none" w:sz="0" w:space="0" w:color="auto"/>
                  </w:divBdr>
                  <w:divsChild>
                    <w:div w:id="1593513029">
                      <w:marLeft w:val="0"/>
                      <w:marRight w:val="0"/>
                      <w:marTop w:val="0"/>
                      <w:marBottom w:val="0"/>
                      <w:divBdr>
                        <w:top w:val="none" w:sz="0" w:space="0" w:color="auto"/>
                        <w:left w:val="none" w:sz="0" w:space="0" w:color="auto"/>
                        <w:bottom w:val="none" w:sz="0" w:space="0" w:color="auto"/>
                        <w:right w:val="none" w:sz="0" w:space="0" w:color="auto"/>
                      </w:divBdr>
                    </w:div>
                  </w:divsChild>
                </w:div>
                <w:div w:id="628241652">
                  <w:marLeft w:val="0"/>
                  <w:marRight w:val="0"/>
                  <w:marTop w:val="0"/>
                  <w:marBottom w:val="0"/>
                  <w:divBdr>
                    <w:top w:val="none" w:sz="0" w:space="0" w:color="auto"/>
                    <w:left w:val="none" w:sz="0" w:space="0" w:color="auto"/>
                    <w:bottom w:val="none" w:sz="0" w:space="0" w:color="auto"/>
                    <w:right w:val="none" w:sz="0" w:space="0" w:color="auto"/>
                  </w:divBdr>
                  <w:divsChild>
                    <w:div w:id="1947806464">
                      <w:marLeft w:val="0"/>
                      <w:marRight w:val="0"/>
                      <w:marTop w:val="0"/>
                      <w:marBottom w:val="0"/>
                      <w:divBdr>
                        <w:top w:val="none" w:sz="0" w:space="0" w:color="auto"/>
                        <w:left w:val="none" w:sz="0" w:space="0" w:color="auto"/>
                        <w:bottom w:val="none" w:sz="0" w:space="0" w:color="auto"/>
                        <w:right w:val="none" w:sz="0" w:space="0" w:color="auto"/>
                      </w:divBdr>
                    </w:div>
                  </w:divsChild>
                </w:div>
                <w:div w:id="671490215">
                  <w:marLeft w:val="0"/>
                  <w:marRight w:val="0"/>
                  <w:marTop w:val="0"/>
                  <w:marBottom w:val="0"/>
                  <w:divBdr>
                    <w:top w:val="none" w:sz="0" w:space="0" w:color="auto"/>
                    <w:left w:val="none" w:sz="0" w:space="0" w:color="auto"/>
                    <w:bottom w:val="none" w:sz="0" w:space="0" w:color="auto"/>
                    <w:right w:val="none" w:sz="0" w:space="0" w:color="auto"/>
                  </w:divBdr>
                  <w:divsChild>
                    <w:div w:id="855580485">
                      <w:marLeft w:val="0"/>
                      <w:marRight w:val="0"/>
                      <w:marTop w:val="0"/>
                      <w:marBottom w:val="0"/>
                      <w:divBdr>
                        <w:top w:val="none" w:sz="0" w:space="0" w:color="auto"/>
                        <w:left w:val="none" w:sz="0" w:space="0" w:color="auto"/>
                        <w:bottom w:val="none" w:sz="0" w:space="0" w:color="auto"/>
                        <w:right w:val="none" w:sz="0" w:space="0" w:color="auto"/>
                      </w:divBdr>
                    </w:div>
                  </w:divsChild>
                </w:div>
                <w:div w:id="680014584">
                  <w:marLeft w:val="0"/>
                  <w:marRight w:val="0"/>
                  <w:marTop w:val="0"/>
                  <w:marBottom w:val="0"/>
                  <w:divBdr>
                    <w:top w:val="none" w:sz="0" w:space="0" w:color="auto"/>
                    <w:left w:val="none" w:sz="0" w:space="0" w:color="auto"/>
                    <w:bottom w:val="none" w:sz="0" w:space="0" w:color="auto"/>
                    <w:right w:val="none" w:sz="0" w:space="0" w:color="auto"/>
                  </w:divBdr>
                  <w:divsChild>
                    <w:div w:id="375351137">
                      <w:marLeft w:val="0"/>
                      <w:marRight w:val="0"/>
                      <w:marTop w:val="0"/>
                      <w:marBottom w:val="0"/>
                      <w:divBdr>
                        <w:top w:val="none" w:sz="0" w:space="0" w:color="auto"/>
                        <w:left w:val="none" w:sz="0" w:space="0" w:color="auto"/>
                        <w:bottom w:val="none" w:sz="0" w:space="0" w:color="auto"/>
                        <w:right w:val="none" w:sz="0" w:space="0" w:color="auto"/>
                      </w:divBdr>
                    </w:div>
                  </w:divsChild>
                </w:div>
                <w:div w:id="681391902">
                  <w:marLeft w:val="0"/>
                  <w:marRight w:val="0"/>
                  <w:marTop w:val="0"/>
                  <w:marBottom w:val="0"/>
                  <w:divBdr>
                    <w:top w:val="none" w:sz="0" w:space="0" w:color="auto"/>
                    <w:left w:val="none" w:sz="0" w:space="0" w:color="auto"/>
                    <w:bottom w:val="none" w:sz="0" w:space="0" w:color="auto"/>
                    <w:right w:val="none" w:sz="0" w:space="0" w:color="auto"/>
                  </w:divBdr>
                  <w:divsChild>
                    <w:div w:id="570040126">
                      <w:marLeft w:val="0"/>
                      <w:marRight w:val="0"/>
                      <w:marTop w:val="0"/>
                      <w:marBottom w:val="0"/>
                      <w:divBdr>
                        <w:top w:val="none" w:sz="0" w:space="0" w:color="auto"/>
                        <w:left w:val="none" w:sz="0" w:space="0" w:color="auto"/>
                        <w:bottom w:val="none" w:sz="0" w:space="0" w:color="auto"/>
                        <w:right w:val="none" w:sz="0" w:space="0" w:color="auto"/>
                      </w:divBdr>
                    </w:div>
                  </w:divsChild>
                </w:div>
                <w:div w:id="756099252">
                  <w:marLeft w:val="0"/>
                  <w:marRight w:val="0"/>
                  <w:marTop w:val="0"/>
                  <w:marBottom w:val="0"/>
                  <w:divBdr>
                    <w:top w:val="none" w:sz="0" w:space="0" w:color="auto"/>
                    <w:left w:val="none" w:sz="0" w:space="0" w:color="auto"/>
                    <w:bottom w:val="none" w:sz="0" w:space="0" w:color="auto"/>
                    <w:right w:val="none" w:sz="0" w:space="0" w:color="auto"/>
                  </w:divBdr>
                  <w:divsChild>
                    <w:div w:id="1905138678">
                      <w:marLeft w:val="0"/>
                      <w:marRight w:val="0"/>
                      <w:marTop w:val="0"/>
                      <w:marBottom w:val="0"/>
                      <w:divBdr>
                        <w:top w:val="none" w:sz="0" w:space="0" w:color="auto"/>
                        <w:left w:val="none" w:sz="0" w:space="0" w:color="auto"/>
                        <w:bottom w:val="none" w:sz="0" w:space="0" w:color="auto"/>
                        <w:right w:val="none" w:sz="0" w:space="0" w:color="auto"/>
                      </w:divBdr>
                    </w:div>
                  </w:divsChild>
                </w:div>
                <w:div w:id="853810001">
                  <w:marLeft w:val="0"/>
                  <w:marRight w:val="0"/>
                  <w:marTop w:val="0"/>
                  <w:marBottom w:val="0"/>
                  <w:divBdr>
                    <w:top w:val="none" w:sz="0" w:space="0" w:color="auto"/>
                    <w:left w:val="none" w:sz="0" w:space="0" w:color="auto"/>
                    <w:bottom w:val="none" w:sz="0" w:space="0" w:color="auto"/>
                    <w:right w:val="none" w:sz="0" w:space="0" w:color="auto"/>
                  </w:divBdr>
                  <w:divsChild>
                    <w:div w:id="774445793">
                      <w:marLeft w:val="0"/>
                      <w:marRight w:val="0"/>
                      <w:marTop w:val="0"/>
                      <w:marBottom w:val="0"/>
                      <w:divBdr>
                        <w:top w:val="none" w:sz="0" w:space="0" w:color="auto"/>
                        <w:left w:val="none" w:sz="0" w:space="0" w:color="auto"/>
                        <w:bottom w:val="none" w:sz="0" w:space="0" w:color="auto"/>
                        <w:right w:val="none" w:sz="0" w:space="0" w:color="auto"/>
                      </w:divBdr>
                    </w:div>
                  </w:divsChild>
                </w:div>
                <w:div w:id="951398514">
                  <w:marLeft w:val="0"/>
                  <w:marRight w:val="0"/>
                  <w:marTop w:val="0"/>
                  <w:marBottom w:val="0"/>
                  <w:divBdr>
                    <w:top w:val="none" w:sz="0" w:space="0" w:color="auto"/>
                    <w:left w:val="none" w:sz="0" w:space="0" w:color="auto"/>
                    <w:bottom w:val="none" w:sz="0" w:space="0" w:color="auto"/>
                    <w:right w:val="none" w:sz="0" w:space="0" w:color="auto"/>
                  </w:divBdr>
                  <w:divsChild>
                    <w:div w:id="528688636">
                      <w:marLeft w:val="0"/>
                      <w:marRight w:val="0"/>
                      <w:marTop w:val="0"/>
                      <w:marBottom w:val="0"/>
                      <w:divBdr>
                        <w:top w:val="none" w:sz="0" w:space="0" w:color="auto"/>
                        <w:left w:val="none" w:sz="0" w:space="0" w:color="auto"/>
                        <w:bottom w:val="none" w:sz="0" w:space="0" w:color="auto"/>
                        <w:right w:val="none" w:sz="0" w:space="0" w:color="auto"/>
                      </w:divBdr>
                    </w:div>
                  </w:divsChild>
                </w:div>
                <w:div w:id="1103915677">
                  <w:marLeft w:val="0"/>
                  <w:marRight w:val="0"/>
                  <w:marTop w:val="0"/>
                  <w:marBottom w:val="0"/>
                  <w:divBdr>
                    <w:top w:val="none" w:sz="0" w:space="0" w:color="auto"/>
                    <w:left w:val="none" w:sz="0" w:space="0" w:color="auto"/>
                    <w:bottom w:val="none" w:sz="0" w:space="0" w:color="auto"/>
                    <w:right w:val="none" w:sz="0" w:space="0" w:color="auto"/>
                  </w:divBdr>
                  <w:divsChild>
                    <w:div w:id="1244341489">
                      <w:marLeft w:val="0"/>
                      <w:marRight w:val="0"/>
                      <w:marTop w:val="0"/>
                      <w:marBottom w:val="0"/>
                      <w:divBdr>
                        <w:top w:val="none" w:sz="0" w:space="0" w:color="auto"/>
                        <w:left w:val="none" w:sz="0" w:space="0" w:color="auto"/>
                        <w:bottom w:val="none" w:sz="0" w:space="0" w:color="auto"/>
                        <w:right w:val="none" w:sz="0" w:space="0" w:color="auto"/>
                      </w:divBdr>
                    </w:div>
                  </w:divsChild>
                </w:div>
                <w:div w:id="1244293221">
                  <w:marLeft w:val="0"/>
                  <w:marRight w:val="0"/>
                  <w:marTop w:val="0"/>
                  <w:marBottom w:val="0"/>
                  <w:divBdr>
                    <w:top w:val="none" w:sz="0" w:space="0" w:color="auto"/>
                    <w:left w:val="none" w:sz="0" w:space="0" w:color="auto"/>
                    <w:bottom w:val="none" w:sz="0" w:space="0" w:color="auto"/>
                    <w:right w:val="none" w:sz="0" w:space="0" w:color="auto"/>
                  </w:divBdr>
                  <w:divsChild>
                    <w:div w:id="542864544">
                      <w:marLeft w:val="0"/>
                      <w:marRight w:val="0"/>
                      <w:marTop w:val="0"/>
                      <w:marBottom w:val="0"/>
                      <w:divBdr>
                        <w:top w:val="none" w:sz="0" w:space="0" w:color="auto"/>
                        <w:left w:val="none" w:sz="0" w:space="0" w:color="auto"/>
                        <w:bottom w:val="none" w:sz="0" w:space="0" w:color="auto"/>
                        <w:right w:val="none" w:sz="0" w:space="0" w:color="auto"/>
                      </w:divBdr>
                    </w:div>
                  </w:divsChild>
                </w:div>
                <w:div w:id="1246187158">
                  <w:marLeft w:val="0"/>
                  <w:marRight w:val="0"/>
                  <w:marTop w:val="0"/>
                  <w:marBottom w:val="0"/>
                  <w:divBdr>
                    <w:top w:val="none" w:sz="0" w:space="0" w:color="auto"/>
                    <w:left w:val="none" w:sz="0" w:space="0" w:color="auto"/>
                    <w:bottom w:val="none" w:sz="0" w:space="0" w:color="auto"/>
                    <w:right w:val="none" w:sz="0" w:space="0" w:color="auto"/>
                  </w:divBdr>
                  <w:divsChild>
                    <w:div w:id="83653038">
                      <w:marLeft w:val="0"/>
                      <w:marRight w:val="0"/>
                      <w:marTop w:val="0"/>
                      <w:marBottom w:val="0"/>
                      <w:divBdr>
                        <w:top w:val="none" w:sz="0" w:space="0" w:color="auto"/>
                        <w:left w:val="none" w:sz="0" w:space="0" w:color="auto"/>
                        <w:bottom w:val="none" w:sz="0" w:space="0" w:color="auto"/>
                        <w:right w:val="none" w:sz="0" w:space="0" w:color="auto"/>
                      </w:divBdr>
                    </w:div>
                  </w:divsChild>
                </w:div>
                <w:div w:id="1318075240">
                  <w:marLeft w:val="0"/>
                  <w:marRight w:val="0"/>
                  <w:marTop w:val="0"/>
                  <w:marBottom w:val="0"/>
                  <w:divBdr>
                    <w:top w:val="none" w:sz="0" w:space="0" w:color="auto"/>
                    <w:left w:val="none" w:sz="0" w:space="0" w:color="auto"/>
                    <w:bottom w:val="none" w:sz="0" w:space="0" w:color="auto"/>
                    <w:right w:val="none" w:sz="0" w:space="0" w:color="auto"/>
                  </w:divBdr>
                  <w:divsChild>
                    <w:div w:id="1276597793">
                      <w:marLeft w:val="0"/>
                      <w:marRight w:val="0"/>
                      <w:marTop w:val="0"/>
                      <w:marBottom w:val="0"/>
                      <w:divBdr>
                        <w:top w:val="none" w:sz="0" w:space="0" w:color="auto"/>
                        <w:left w:val="none" w:sz="0" w:space="0" w:color="auto"/>
                        <w:bottom w:val="none" w:sz="0" w:space="0" w:color="auto"/>
                        <w:right w:val="none" w:sz="0" w:space="0" w:color="auto"/>
                      </w:divBdr>
                    </w:div>
                  </w:divsChild>
                </w:div>
                <w:div w:id="1357850959">
                  <w:marLeft w:val="0"/>
                  <w:marRight w:val="0"/>
                  <w:marTop w:val="0"/>
                  <w:marBottom w:val="0"/>
                  <w:divBdr>
                    <w:top w:val="none" w:sz="0" w:space="0" w:color="auto"/>
                    <w:left w:val="none" w:sz="0" w:space="0" w:color="auto"/>
                    <w:bottom w:val="none" w:sz="0" w:space="0" w:color="auto"/>
                    <w:right w:val="none" w:sz="0" w:space="0" w:color="auto"/>
                  </w:divBdr>
                  <w:divsChild>
                    <w:div w:id="1838961065">
                      <w:marLeft w:val="0"/>
                      <w:marRight w:val="0"/>
                      <w:marTop w:val="0"/>
                      <w:marBottom w:val="0"/>
                      <w:divBdr>
                        <w:top w:val="none" w:sz="0" w:space="0" w:color="auto"/>
                        <w:left w:val="none" w:sz="0" w:space="0" w:color="auto"/>
                        <w:bottom w:val="none" w:sz="0" w:space="0" w:color="auto"/>
                        <w:right w:val="none" w:sz="0" w:space="0" w:color="auto"/>
                      </w:divBdr>
                    </w:div>
                  </w:divsChild>
                </w:div>
                <w:div w:id="1380862281">
                  <w:marLeft w:val="0"/>
                  <w:marRight w:val="0"/>
                  <w:marTop w:val="0"/>
                  <w:marBottom w:val="0"/>
                  <w:divBdr>
                    <w:top w:val="none" w:sz="0" w:space="0" w:color="auto"/>
                    <w:left w:val="none" w:sz="0" w:space="0" w:color="auto"/>
                    <w:bottom w:val="none" w:sz="0" w:space="0" w:color="auto"/>
                    <w:right w:val="none" w:sz="0" w:space="0" w:color="auto"/>
                  </w:divBdr>
                  <w:divsChild>
                    <w:div w:id="1712459566">
                      <w:marLeft w:val="0"/>
                      <w:marRight w:val="0"/>
                      <w:marTop w:val="0"/>
                      <w:marBottom w:val="0"/>
                      <w:divBdr>
                        <w:top w:val="none" w:sz="0" w:space="0" w:color="auto"/>
                        <w:left w:val="none" w:sz="0" w:space="0" w:color="auto"/>
                        <w:bottom w:val="none" w:sz="0" w:space="0" w:color="auto"/>
                        <w:right w:val="none" w:sz="0" w:space="0" w:color="auto"/>
                      </w:divBdr>
                    </w:div>
                  </w:divsChild>
                </w:div>
                <w:div w:id="1415934268">
                  <w:marLeft w:val="0"/>
                  <w:marRight w:val="0"/>
                  <w:marTop w:val="0"/>
                  <w:marBottom w:val="0"/>
                  <w:divBdr>
                    <w:top w:val="none" w:sz="0" w:space="0" w:color="auto"/>
                    <w:left w:val="none" w:sz="0" w:space="0" w:color="auto"/>
                    <w:bottom w:val="none" w:sz="0" w:space="0" w:color="auto"/>
                    <w:right w:val="none" w:sz="0" w:space="0" w:color="auto"/>
                  </w:divBdr>
                  <w:divsChild>
                    <w:div w:id="2096634607">
                      <w:marLeft w:val="0"/>
                      <w:marRight w:val="0"/>
                      <w:marTop w:val="0"/>
                      <w:marBottom w:val="0"/>
                      <w:divBdr>
                        <w:top w:val="none" w:sz="0" w:space="0" w:color="auto"/>
                        <w:left w:val="none" w:sz="0" w:space="0" w:color="auto"/>
                        <w:bottom w:val="none" w:sz="0" w:space="0" w:color="auto"/>
                        <w:right w:val="none" w:sz="0" w:space="0" w:color="auto"/>
                      </w:divBdr>
                    </w:div>
                  </w:divsChild>
                </w:div>
                <w:div w:id="1520200986">
                  <w:marLeft w:val="0"/>
                  <w:marRight w:val="0"/>
                  <w:marTop w:val="0"/>
                  <w:marBottom w:val="0"/>
                  <w:divBdr>
                    <w:top w:val="none" w:sz="0" w:space="0" w:color="auto"/>
                    <w:left w:val="none" w:sz="0" w:space="0" w:color="auto"/>
                    <w:bottom w:val="none" w:sz="0" w:space="0" w:color="auto"/>
                    <w:right w:val="none" w:sz="0" w:space="0" w:color="auto"/>
                  </w:divBdr>
                  <w:divsChild>
                    <w:div w:id="1925066541">
                      <w:marLeft w:val="0"/>
                      <w:marRight w:val="0"/>
                      <w:marTop w:val="0"/>
                      <w:marBottom w:val="0"/>
                      <w:divBdr>
                        <w:top w:val="none" w:sz="0" w:space="0" w:color="auto"/>
                        <w:left w:val="none" w:sz="0" w:space="0" w:color="auto"/>
                        <w:bottom w:val="none" w:sz="0" w:space="0" w:color="auto"/>
                        <w:right w:val="none" w:sz="0" w:space="0" w:color="auto"/>
                      </w:divBdr>
                    </w:div>
                  </w:divsChild>
                </w:div>
                <w:div w:id="1524706843">
                  <w:marLeft w:val="0"/>
                  <w:marRight w:val="0"/>
                  <w:marTop w:val="0"/>
                  <w:marBottom w:val="0"/>
                  <w:divBdr>
                    <w:top w:val="none" w:sz="0" w:space="0" w:color="auto"/>
                    <w:left w:val="none" w:sz="0" w:space="0" w:color="auto"/>
                    <w:bottom w:val="none" w:sz="0" w:space="0" w:color="auto"/>
                    <w:right w:val="none" w:sz="0" w:space="0" w:color="auto"/>
                  </w:divBdr>
                  <w:divsChild>
                    <w:div w:id="62875621">
                      <w:marLeft w:val="0"/>
                      <w:marRight w:val="0"/>
                      <w:marTop w:val="0"/>
                      <w:marBottom w:val="0"/>
                      <w:divBdr>
                        <w:top w:val="none" w:sz="0" w:space="0" w:color="auto"/>
                        <w:left w:val="none" w:sz="0" w:space="0" w:color="auto"/>
                        <w:bottom w:val="none" w:sz="0" w:space="0" w:color="auto"/>
                        <w:right w:val="none" w:sz="0" w:space="0" w:color="auto"/>
                      </w:divBdr>
                    </w:div>
                  </w:divsChild>
                </w:div>
                <w:div w:id="1530407626">
                  <w:marLeft w:val="0"/>
                  <w:marRight w:val="0"/>
                  <w:marTop w:val="0"/>
                  <w:marBottom w:val="0"/>
                  <w:divBdr>
                    <w:top w:val="none" w:sz="0" w:space="0" w:color="auto"/>
                    <w:left w:val="none" w:sz="0" w:space="0" w:color="auto"/>
                    <w:bottom w:val="none" w:sz="0" w:space="0" w:color="auto"/>
                    <w:right w:val="none" w:sz="0" w:space="0" w:color="auto"/>
                  </w:divBdr>
                  <w:divsChild>
                    <w:div w:id="1920097842">
                      <w:marLeft w:val="0"/>
                      <w:marRight w:val="0"/>
                      <w:marTop w:val="0"/>
                      <w:marBottom w:val="0"/>
                      <w:divBdr>
                        <w:top w:val="none" w:sz="0" w:space="0" w:color="auto"/>
                        <w:left w:val="none" w:sz="0" w:space="0" w:color="auto"/>
                        <w:bottom w:val="none" w:sz="0" w:space="0" w:color="auto"/>
                        <w:right w:val="none" w:sz="0" w:space="0" w:color="auto"/>
                      </w:divBdr>
                    </w:div>
                  </w:divsChild>
                </w:div>
                <w:div w:id="1648507224">
                  <w:marLeft w:val="0"/>
                  <w:marRight w:val="0"/>
                  <w:marTop w:val="0"/>
                  <w:marBottom w:val="0"/>
                  <w:divBdr>
                    <w:top w:val="none" w:sz="0" w:space="0" w:color="auto"/>
                    <w:left w:val="none" w:sz="0" w:space="0" w:color="auto"/>
                    <w:bottom w:val="none" w:sz="0" w:space="0" w:color="auto"/>
                    <w:right w:val="none" w:sz="0" w:space="0" w:color="auto"/>
                  </w:divBdr>
                  <w:divsChild>
                    <w:div w:id="1784613521">
                      <w:marLeft w:val="0"/>
                      <w:marRight w:val="0"/>
                      <w:marTop w:val="0"/>
                      <w:marBottom w:val="0"/>
                      <w:divBdr>
                        <w:top w:val="none" w:sz="0" w:space="0" w:color="auto"/>
                        <w:left w:val="none" w:sz="0" w:space="0" w:color="auto"/>
                        <w:bottom w:val="none" w:sz="0" w:space="0" w:color="auto"/>
                        <w:right w:val="none" w:sz="0" w:space="0" w:color="auto"/>
                      </w:divBdr>
                    </w:div>
                  </w:divsChild>
                </w:div>
                <w:div w:id="1740011171">
                  <w:marLeft w:val="0"/>
                  <w:marRight w:val="0"/>
                  <w:marTop w:val="0"/>
                  <w:marBottom w:val="0"/>
                  <w:divBdr>
                    <w:top w:val="none" w:sz="0" w:space="0" w:color="auto"/>
                    <w:left w:val="none" w:sz="0" w:space="0" w:color="auto"/>
                    <w:bottom w:val="none" w:sz="0" w:space="0" w:color="auto"/>
                    <w:right w:val="none" w:sz="0" w:space="0" w:color="auto"/>
                  </w:divBdr>
                  <w:divsChild>
                    <w:div w:id="1620918286">
                      <w:marLeft w:val="0"/>
                      <w:marRight w:val="0"/>
                      <w:marTop w:val="0"/>
                      <w:marBottom w:val="0"/>
                      <w:divBdr>
                        <w:top w:val="none" w:sz="0" w:space="0" w:color="auto"/>
                        <w:left w:val="none" w:sz="0" w:space="0" w:color="auto"/>
                        <w:bottom w:val="none" w:sz="0" w:space="0" w:color="auto"/>
                        <w:right w:val="none" w:sz="0" w:space="0" w:color="auto"/>
                      </w:divBdr>
                    </w:div>
                  </w:divsChild>
                </w:div>
                <w:div w:id="1848405390">
                  <w:marLeft w:val="0"/>
                  <w:marRight w:val="0"/>
                  <w:marTop w:val="0"/>
                  <w:marBottom w:val="0"/>
                  <w:divBdr>
                    <w:top w:val="none" w:sz="0" w:space="0" w:color="auto"/>
                    <w:left w:val="none" w:sz="0" w:space="0" w:color="auto"/>
                    <w:bottom w:val="none" w:sz="0" w:space="0" w:color="auto"/>
                    <w:right w:val="none" w:sz="0" w:space="0" w:color="auto"/>
                  </w:divBdr>
                  <w:divsChild>
                    <w:div w:id="630744651">
                      <w:marLeft w:val="0"/>
                      <w:marRight w:val="0"/>
                      <w:marTop w:val="0"/>
                      <w:marBottom w:val="0"/>
                      <w:divBdr>
                        <w:top w:val="none" w:sz="0" w:space="0" w:color="auto"/>
                        <w:left w:val="none" w:sz="0" w:space="0" w:color="auto"/>
                        <w:bottom w:val="none" w:sz="0" w:space="0" w:color="auto"/>
                        <w:right w:val="none" w:sz="0" w:space="0" w:color="auto"/>
                      </w:divBdr>
                    </w:div>
                  </w:divsChild>
                </w:div>
                <w:div w:id="1909656640">
                  <w:marLeft w:val="0"/>
                  <w:marRight w:val="0"/>
                  <w:marTop w:val="0"/>
                  <w:marBottom w:val="0"/>
                  <w:divBdr>
                    <w:top w:val="none" w:sz="0" w:space="0" w:color="auto"/>
                    <w:left w:val="none" w:sz="0" w:space="0" w:color="auto"/>
                    <w:bottom w:val="none" w:sz="0" w:space="0" w:color="auto"/>
                    <w:right w:val="none" w:sz="0" w:space="0" w:color="auto"/>
                  </w:divBdr>
                  <w:divsChild>
                    <w:div w:id="147792501">
                      <w:marLeft w:val="0"/>
                      <w:marRight w:val="0"/>
                      <w:marTop w:val="0"/>
                      <w:marBottom w:val="0"/>
                      <w:divBdr>
                        <w:top w:val="none" w:sz="0" w:space="0" w:color="auto"/>
                        <w:left w:val="none" w:sz="0" w:space="0" w:color="auto"/>
                        <w:bottom w:val="none" w:sz="0" w:space="0" w:color="auto"/>
                        <w:right w:val="none" w:sz="0" w:space="0" w:color="auto"/>
                      </w:divBdr>
                    </w:div>
                  </w:divsChild>
                </w:div>
                <w:div w:id="1911619884">
                  <w:marLeft w:val="0"/>
                  <w:marRight w:val="0"/>
                  <w:marTop w:val="0"/>
                  <w:marBottom w:val="0"/>
                  <w:divBdr>
                    <w:top w:val="none" w:sz="0" w:space="0" w:color="auto"/>
                    <w:left w:val="none" w:sz="0" w:space="0" w:color="auto"/>
                    <w:bottom w:val="none" w:sz="0" w:space="0" w:color="auto"/>
                    <w:right w:val="none" w:sz="0" w:space="0" w:color="auto"/>
                  </w:divBdr>
                  <w:divsChild>
                    <w:div w:id="13189251">
                      <w:marLeft w:val="0"/>
                      <w:marRight w:val="0"/>
                      <w:marTop w:val="0"/>
                      <w:marBottom w:val="0"/>
                      <w:divBdr>
                        <w:top w:val="none" w:sz="0" w:space="0" w:color="auto"/>
                        <w:left w:val="none" w:sz="0" w:space="0" w:color="auto"/>
                        <w:bottom w:val="none" w:sz="0" w:space="0" w:color="auto"/>
                        <w:right w:val="none" w:sz="0" w:space="0" w:color="auto"/>
                      </w:divBdr>
                    </w:div>
                  </w:divsChild>
                </w:div>
                <w:div w:id="1939286333">
                  <w:marLeft w:val="0"/>
                  <w:marRight w:val="0"/>
                  <w:marTop w:val="0"/>
                  <w:marBottom w:val="0"/>
                  <w:divBdr>
                    <w:top w:val="none" w:sz="0" w:space="0" w:color="auto"/>
                    <w:left w:val="none" w:sz="0" w:space="0" w:color="auto"/>
                    <w:bottom w:val="none" w:sz="0" w:space="0" w:color="auto"/>
                    <w:right w:val="none" w:sz="0" w:space="0" w:color="auto"/>
                  </w:divBdr>
                  <w:divsChild>
                    <w:div w:id="460536662">
                      <w:marLeft w:val="0"/>
                      <w:marRight w:val="0"/>
                      <w:marTop w:val="0"/>
                      <w:marBottom w:val="0"/>
                      <w:divBdr>
                        <w:top w:val="none" w:sz="0" w:space="0" w:color="auto"/>
                        <w:left w:val="none" w:sz="0" w:space="0" w:color="auto"/>
                        <w:bottom w:val="none" w:sz="0" w:space="0" w:color="auto"/>
                        <w:right w:val="none" w:sz="0" w:space="0" w:color="auto"/>
                      </w:divBdr>
                    </w:div>
                  </w:divsChild>
                </w:div>
                <w:div w:id="1953171214">
                  <w:marLeft w:val="0"/>
                  <w:marRight w:val="0"/>
                  <w:marTop w:val="0"/>
                  <w:marBottom w:val="0"/>
                  <w:divBdr>
                    <w:top w:val="none" w:sz="0" w:space="0" w:color="auto"/>
                    <w:left w:val="none" w:sz="0" w:space="0" w:color="auto"/>
                    <w:bottom w:val="none" w:sz="0" w:space="0" w:color="auto"/>
                    <w:right w:val="none" w:sz="0" w:space="0" w:color="auto"/>
                  </w:divBdr>
                  <w:divsChild>
                    <w:div w:id="748768094">
                      <w:marLeft w:val="0"/>
                      <w:marRight w:val="0"/>
                      <w:marTop w:val="0"/>
                      <w:marBottom w:val="0"/>
                      <w:divBdr>
                        <w:top w:val="none" w:sz="0" w:space="0" w:color="auto"/>
                        <w:left w:val="none" w:sz="0" w:space="0" w:color="auto"/>
                        <w:bottom w:val="none" w:sz="0" w:space="0" w:color="auto"/>
                        <w:right w:val="none" w:sz="0" w:space="0" w:color="auto"/>
                      </w:divBdr>
                    </w:div>
                  </w:divsChild>
                </w:div>
                <w:div w:id="2001420663">
                  <w:marLeft w:val="0"/>
                  <w:marRight w:val="0"/>
                  <w:marTop w:val="0"/>
                  <w:marBottom w:val="0"/>
                  <w:divBdr>
                    <w:top w:val="none" w:sz="0" w:space="0" w:color="auto"/>
                    <w:left w:val="none" w:sz="0" w:space="0" w:color="auto"/>
                    <w:bottom w:val="none" w:sz="0" w:space="0" w:color="auto"/>
                    <w:right w:val="none" w:sz="0" w:space="0" w:color="auto"/>
                  </w:divBdr>
                  <w:divsChild>
                    <w:div w:id="93598403">
                      <w:marLeft w:val="0"/>
                      <w:marRight w:val="0"/>
                      <w:marTop w:val="0"/>
                      <w:marBottom w:val="0"/>
                      <w:divBdr>
                        <w:top w:val="none" w:sz="0" w:space="0" w:color="auto"/>
                        <w:left w:val="none" w:sz="0" w:space="0" w:color="auto"/>
                        <w:bottom w:val="none" w:sz="0" w:space="0" w:color="auto"/>
                        <w:right w:val="none" w:sz="0" w:space="0" w:color="auto"/>
                      </w:divBdr>
                    </w:div>
                  </w:divsChild>
                </w:div>
                <w:div w:id="2054697355">
                  <w:marLeft w:val="0"/>
                  <w:marRight w:val="0"/>
                  <w:marTop w:val="0"/>
                  <w:marBottom w:val="0"/>
                  <w:divBdr>
                    <w:top w:val="none" w:sz="0" w:space="0" w:color="auto"/>
                    <w:left w:val="none" w:sz="0" w:space="0" w:color="auto"/>
                    <w:bottom w:val="none" w:sz="0" w:space="0" w:color="auto"/>
                    <w:right w:val="none" w:sz="0" w:space="0" w:color="auto"/>
                  </w:divBdr>
                  <w:divsChild>
                    <w:div w:id="529412953">
                      <w:marLeft w:val="0"/>
                      <w:marRight w:val="0"/>
                      <w:marTop w:val="0"/>
                      <w:marBottom w:val="0"/>
                      <w:divBdr>
                        <w:top w:val="none" w:sz="0" w:space="0" w:color="auto"/>
                        <w:left w:val="none" w:sz="0" w:space="0" w:color="auto"/>
                        <w:bottom w:val="none" w:sz="0" w:space="0" w:color="auto"/>
                        <w:right w:val="none" w:sz="0" w:space="0" w:color="auto"/>
                      </w:divBdr>
                    </w:div>
                  </w:divsChild>
                </w:div>
                <w:div w:id="2088845002">
                  <w:marLeft w:val="0"/>
                  <w:marRight w:val="0"/>
                  <w:marTop w:val="0"/>
                  <w:marBottom w:val="0"/>
                  <w:divBdr>
                    <w:top w:val="none" w:sz="0" w:space="0" w:color="auto"/>
                    <w:left w:val="none" w:sz="0" w:space="0" w:color="auto"/>
                    <w:bottom w:val="none" w:sz="0" w:space="0" w:color="auto"/>
                    <w:right w:val="none" w:sz="0" w:space="0" w:color="auto"/>
                  </w:divBdr>
                  <w:divsChild>
                    <w:div w:id="713503450">
                      <w:marLeft w:val="0"/>
                      <w:marRight w:val="0"/>
                      <w:marTop w:val="0"/>
                      <w:marBottom w:val="0"/>
                      <w:divBdr>
                        <w:top w:val="none" w:sz="0" w:space="0" w:color="auto"/>
                        <w:left w:val="none" w:sz="0" w:space="0" w:color="auto"/>
                        <w:bottom w:val="none" w:sz="0" w:space="0" w:color="auto"/>
                        <w:right w:val="none" w:sz="0" w:space="0" w:color="auto"/>
                      </w:divBdr>
                    </w:div>
                  </w:divsChild>
                </w:div>
                <w:div w:id="2139109225">
                  <w:marLeft w:val="0"/>
                  <w:marRight w:val="0"/>
                  <w:marTop w:val="0"/>
                  <w:marBottom w:val="0"/>
                  <w:divBdr>
                    <w:top w:val="none" w:sz="0" w:space="0" w:color="auto"/>
                    <w:left w:val="none" w:sz="0" w:space="0" w:color="auto"/>
                    <w:bottom w:val="none" w:sz="0" w:space="0" w:color="auto"/>
                    <w:right w:val="none" w:sz="0" w:space="0" w:color="auto"/>
                  </w:divBdr>
                  <w:divsChild>
                    <w:div w:id="5230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23702">
          <w:marLeft w:val="0"/>
          <w:marRight w:val="0"/>
          <w:marTop w:val="0"/>
          <w:marBottom w:val="0"/>
          <w:divBdr>
            <w:top w:val="none" w:sz="0" w:space="0" w:color="auto"/>
            <w:left w:val="none" w:sz="0" w:space="0" w:color="auto"/>
            <w:bottom w:val="none" w:sz="0" w:space="0" w:color="auto"/>
            <w:right w:val="none" w:sz="0" w:space="0" w:color="auto"/>
          </w:divBdr>
        </w:div>
      </w:divsChild>
    </w:div>
    <w:div w:id="1069116921">
      <w:bodyDiv w:val="1"/>
      <w:marLeft w:val="0"/>
      <w:marRight w:val="0"/>
      <w:marTop w:val="0"/>
      <w:marBottom w:val="0"/>
      <w:divBdr>
        <w:top w:val="none" w:sz="0" w:space="0" w:color="auto"/>
        <w:left w:val="none" w:sz="0" w:space="0" w:color="auto"/>
        <w:bottom w:val="none" w:sz="0" w:space="0" w:color="auto"/>
        <w:right w:val="none" w:sz="0" w:space="0" w:color="auto"/>
      </w:divBdr>
    </w:div>
    <w:div w:id="1126896160">
      <w:bodyDiv w:val="1"/>
      <w:marLeft w:val="0"/>
      <w:marRight w:val="0"/>
      <w:marTop w:val="0"/>
      <w:marBottom w:val="0"/>
      <w:divBdr>
        <w:top w:val="none" w:sz="0" w:space="0" w:color="auto"/>
        <w:left w:val="none" w:sz="0" w:space="0" w:color="auto"/>
        <w:bottom w:val="none" w:sz="0" w:space="0" w:color="auto"/>
        <w:right w:val="none" w:sz="0" w:space="0" w:color="auto"/>
      </w:divBdr>
    </w:div>
    <w:div w:id="1186946311">
      <w:bodyDiv w:val="1"/>
      <w:marLeft w:val="0"/>
      <w:marRight w:val="0"/>
      <w:marTop w:val="0"/>
      <w:marBottom w:val="0"/>
      <w:divBdr>
        <w:top w:val="none" w:sz="0" w:space="0" w:color="auto"/>
        <w:left w:val="none" w:sz="0" w:space="0" w:color="auto"/>
        <w:bottom w:val="none" w:sz="0" w:space="0" w:color="auto"/>
        <w:right w:val="none" w:sz="0" w:space="0" w:color="auto"/>
      </w:divBdr>
      <w:divsChild>
        <w:div w:id="25717064">
          <w:marLeft w:val="0"/>
          <w:marRight w:val="0"/>
          <w:marTop w:val="0"/>
          <w:marBottom w:val="0"/>
          <w:divBdr>
            <w:top w:val="none" w:sz="0" w:space="0" w:color="auto"/>
            <w:left w:val="none" w:sz="0" w:space="0" w:color="auto"/>
            <w:bottom w:val="none" w:sz="0" w:space="0" w:color="auto"/>
            <w:right w:val="none" w:sz="0" w:space="0" w:color="auto"/>
          </w:divBdr>
        </w:div>
        <w:div w:id="267125859">
          <w:marLeft w:val="0"/>
          <w:marRight w:val="0"/>
          <w:marTop w:val="0"/>
          <w:marBottom w:val="0"/>
          <w:divBdr>
            <w:top w:val="none" w:sz="0" w:space="0" w:color="auto"/>
            <w:left w:val="none" w:sz="0" w:space="0" w:color="auto"/>
            <w:bottom w:val="none" w:sz="0" w:space="0" w:color="auto"/>
            <w:right w:val="none" w:sz="0" w:space="0" w:color="auto"/>
          </w:divBdr>
        </w:div>
        <w:div w:id="629093855">
          <w:marLeft w:val="0"/>
          <w:marRight w:val="0"/>
          <w:marTop w:val="0"/>
          <w:marBottom w:val="0"/>
          <w:divBdr>
            <w:top w:val="none" w:sz="0" w:space="0" w:color="auto"/>
            <w:left w:val="none" w:sz="0" w:space="0" w:color="auto"/>
            <w:bottom w:val="none" w:sz="0" w:space="0" w:color="auto"/>
            <w:right w:val="none" w:sz="0" w:space="0" w:color="auto"/>
          </w:divBdr>
        </w:div>
        <w:div w:id="847250202">
          <w:marLeft w:val="0"/>
          <w:marRight w:val="0"/>
          <w:marTop w:val="0"/>
          <w:marBottom w:val="0"/>
          <w:divBdr>
            <w:top w:val="none" w:sz="0" w:space="0" w:color="auto"/>
            <w:left w:val="none" w:sz="0" w:space="0" w:color="auto"/>
            <w:bottom w:val="none" w:sz="0" w:space="0" w:color="auto"/>
            <w:right w:val="none" w:sz="0" w:space="0" w:color="auto"/>
          </w:divBdr>
        </w:div>
        <w:div w:id="1000502894">
          <w:marLeft w:val="0"/>
          <w:marRight w:val="0"/>
          <w:marTop w:val="0"/>
          <w:marBottom w:val="0"/>
          <w:divBdr>
            <w:top w:val="none" w:sz="0" w:space="0" w:color="auto"/>
            <w:left w:val="none" w:sz="0" w:space="0" w:color="auto"/>
            <w:bottom w:val="none" w:sz="0" w:space="0" w:color="auto"/>
            <w:right w:val="none" w:sz="0" w:space="0" w:color="auto"/>
          </w:divBdr>
        </w:div>
        <w:div w:id="1432163344">
          <w:marLeft w:val="0"/>
          <w:marRight w:val="0"/>
          <w:marTop w:val="0"/>
          <w:marBottom w:val="0"/>
          <w:divBdr>
            <w:top w:val="none" w:sz="0" w:space="0" w:color="auto"/>
            <w:left w:val="none" w:sz="0" w:space="0" w:color="auto"/>
            <w:bottom w:val="none" w:sz="0" w:space="0" w:color="auto"/>
            <w:right w:val="none" w:sz="0" w:space="0" w:color="auto"/>
          </w:divBdr>
        </w:div>
      </w:divsChild>
    </w:div>
    <w:div w:id="1241453107">
      <w:bodyDiv w:val="1"/>
      <w:marLeft w:val="0"/>
      <w:marRight w:val="0"/>
      <w:marTop w:val="0"/>
      <w:marBottom w:val="0"/>
      <w:divBdr>
        <w:top w:val="none" w:sz="0" w:space="0" w:color="auto"/>
        <w:left w:val="none" w:sz="0" w:space="0" w:color="auto"/>
        <w:bottom w:val="none" w:sz="0" w:space="0" w:color="auto"/>
        <w:right w:val="none" w:sz="0" w:space="0" w:color="auto"/>
      </w:divBdr>
    </w:div>
    <w:div w:id="1281033673">
      <w:bodyDiv w:val="1"/>
      <w:marLeft w:val="0"/>
      <w:marRight w:val="0"/>
      <w:marTop w:val="0"/>
      <w:marBottom w:val="0"/>
      <w:divBdr>
        <w:top w:val="none" w:sz="0" w:space="0" w:color="auto"/>
        <w:left w:val="none" w:sz="0" w:space="0" w:color="auto"/>
        <w:bottom w:val="none" w:sz="0" w:space="0" w:color="auto"/>
        <w:right w:val="none" w:sz="0" w:space="0" w:color="auto"/>
      </w:divBdr>
    </w:div>
    <w:div w:id="1308508208">
      <w:bodyDiv w:val="1"/>
      <w:marLeft w:val="0"/>
      <w:marRight w:val="0"/>
      <w:marTop w:val="0"/>
      <w:marBottom w:val="0"/>
      <w:divBdr>
        <w:top w:val="none" w:sz="0" w:space="0" w:color="auto"/>
        <w:left w:val="none" w:sz="0" w:space="0" w:color="auto"/>
        <w:bottom w:val="none" w:sz="0" w:space="0" w:color="auto"/>
        <w:right w:val="none" w:sz="0" w:space="0" w:color="auto"/>
      </w:divBdr>
      <w:divsChild>
        <w:div w:id="297952041">
          <w:marLeft w:val="0"/>
          <w:marRight w:val="0"/>
          <w:marTop w:val="0"/>
          <w:marBottom w:val="0"/>
          <w:divBdr>
            <w:top w:val="none" w:sz="0" w:space="0" w:color="auto"/>
            <w:left w:val="none" w:sz="0" w:space="0" w:color="auto"/>
            <w:bottom w:val="none" w:sz="0" w:space="0" w:color="auto"/>
            <w:right w:val="none" w:sz="0" w:space="0" w:color="auto"/>
          </w:divBdr>
        </w:div>
        <w:div w:id="379013891">
          <w:marLeft w:val="0"/>
          <w:marRight w:val="0"/>
          <w:marTop w:val="0"/>
          <w:marBottom w:val="0"/>
          <w:divBdr>
            <w:top w:val="none" w:sz="0" w:space="0" w:color="auto"/>
            <w:left w:val="none" w:sz="0" w:space="0" w:color="auto"/>
            <w:bottom w:val="none" w:sz="0" w:space="0" w:color="auto"/>
            <w:right w:val="none" w:sz="0" w:space="0" w:color="auto"/>
          </w:divBdr>
        </w:div>
        <w:div w:id="420562706">
          <w:marLeft w:val="0"/>
          <w:marRight w:val="0"/>
          <w:marTop w:val="0"/>
          <w:marBottom w:val="0"/>
          <w:divBdr>
            <w:top w:val="none" w:sz="0" w:space="0" w:color="auto"/>
            <w:left w:val="none" w:sz="0" w:space="0" w:color="auto"/>
            <w:bottom w:val="none" w:sz="0" w:space="0" w:color="auto"/>
            <w:right w:val="none" w:sz="0" w:space="0" w:color="auto"/>
          </w:divBdr>
        </w:div>
        <w:div w:id="486168723">
          <w:marLeft w:val="0"/>
          <w:marRight w:val="0"/>
          <w:marTop w:val="0"/>
          <w:marBottom w:val="0"/>
          <w:divBdr>
            <w:top w:val="none" w:sz="0" w:space="0" w:color="auto"/>
            <w:left w:val="none" w:sz="0" w:space="0" w:color="auto"/>
            <w:bottom w:val="none" w:sz="0" w:space="0" w:color="auto"/>
            <w:right w:val="none" w:sz="0" w:space="0" w:color="auto"/>
          </w:divBdr>
        </w:div>
        <w:div w:id="684524204">
          <w:marLeft w:val="0"/>
          <w:marRight w:val="0"/>
          <w:marTop w:val="0"/>
          <w:marBottom w:val="0"/>
          <w:divBdr>
            <w:top w:val="none" w:sz="0" w:space="0" w:color="auto"/>
            <w:left w:val="none" w:sz="0" w:space="0" w:color="auto"/>
            <w:bottom w:val="none" w:sz="0" w:space="0" w:color="auto"/>
            <w:right w:val="none" w:sz="0" w:space="0" w:color="auto"/>
          </w:divBdr>
        </w:div>
        <w:div w:id="882984977">
          <w:marLeft w:val="0"/>
          <w:marRight w:val="0"/>
          <w:marTop w:val="0"/>
          <w:marBottom w:val="0"/>
          <w:divBdr>
            <w:top w:val="none" w:sz="0" w:space="0" w:color="auto"/>
            <w:left w:val="none" w:sz="0" w:space="0" w:color="auto"/>
            <w:bottom w:val="none" w:sz="0" w:space="0" w:color="auto"/>
            <w:right w:val="none" w:sz="0" w:space="0" w:color="auto"/>
          </w:divBdr>
        </w:div>
        <w:div w:id="1019620054">
          <w:marLeft w:val="0"/>
          <w:marRight w:val="0"/>
          <w:marTop w:val="0"/>
          <w:marBottom w:val="0"/>
          <w:divBdr>
            <w:top w:val="none" w:sz="0" w:space="0" w:color="auto"/>
            <w:left w:val="none" w:sz="0" w:space="0" w:color="auto"/>
            <w:bottom w:val="none" w:sz="0" w:space="0" w:color="auto"/>
            <w:right w:val="none" w:sz="0" w:space="0" w:color="auto"/>
          </w:divBdr>
        </w:div>
        <w:div w:id="1105732378">
          <w:marLeft w:val="0"/>
          <w:marRight w:val="0"/>
          <w:marTop w:val="0"/>
          <w:marBottom w:val="0"/>
          <w:divBdr>
            <w:top w:val="none" w:sz="0" w:space="0" w:color="auto"/>
            <w:left w:val="none" w:sz="0" w:space="0" w:color="auto"/>
            <w:bottom w:val="none" w:sz="0" w:space="0" w:color="auto"/>
            <w:right w:val="none" w:sz="0" w:space="0" w:color="auto"/>
          </w:divBdr>
        </w:div>
        <w:div w:id="1115322976">
          <w:marLeft w:val="0"/>
          <w:marRight w:val="0"/>
          <w:marTop w:val="0"/>
          <w:marBottom w:val="0"/>
          <w:divBdr>
            <w:top w:val="none" w:sz="0" w:space="0" w:color="auto"/>
            <w:left w:val="none" w:sz="0" w:space="0" w:color="auto"/>
            <w:bottom w:val="none" w:sz="0" w:space="0" w:color="auto"/>
            <w:right w:val="none" w:sz="0" w:space="0" w:color="auto"/>
          </w:divBdr>
        </w:div>
        <w:div w:id="1217087490">
          <w:marLeft w:val="0"/>
          <w:marRight w:val="0"/>
          <w:marTop w:val="0"/>
          <w:marBottom w:val="0"/>
          <w:divBdr>
            <w:top w:val="none" w:sz="0" w:space="0" w:color="auto"/>
            <w:left w:val="none" w:sz="0" w:space="0" w:color="auto"/>
            <w:bottom w:val="none" w:sz="0" w:space="0" w:color="auto"/>
            <w:right w:val="none" w:sz="0" w:space="0" w:color="auto"/>
          </w:divBdr>
        </w:div>
        <w:div w:id="1225867998">
          <w:marLeft w:val="0"/>
          <w:marRight w:val="0"/>
          <w:marTop w:val="0"/>
          <w:marBottom w:val="0"/>
          <w:divBdr>
            <w:top w:val="none" w:sz="0" w:space="0" w:color="auto"/>
            <w:left w:val="none" w:sz="0" w:space="0" w:color="auto"/>
            <w:bottom w:val="none" w:sz="0" w:space="0" w:color="auto"/>
            <w:right w:val="none" w:sz="0" w:space="0" w:color="auto"/>
          </w:divBdr>
        </w:div>
        <w:div w:id="1269313926">
          <w:marLeft w:val="0"/>
          <w:marRight w:val="0"/>
          <w:marTop w:val="0"/>
          <w:marBottom w:val="0"/>
          <w:divBdr>
            <w:top w:val="none" w:sz="0" w:space="0" w:color="auto"/>
            <w:left w:val="none" w:sz="0" w:space="0" w:color="auto"/>
            <w:bottom w:val="none" w:sz="0" w:space="0" w:color="auto"/>
            <w:right w:val="none" w:sz="0" w:space="0" w:color="auto"/>
          </w:divBdr>
        </w:div>
        <w:div w:id="1412000267">
          <w:marLeft w:val="0"/>
          <w:marRight w:val="0"/>
          <w:marTop w:val="0"/>
          <w:marBottom w:val="0"/>
          <w:divBdr>
            <w:top w:val="none" w:sz="0" w:space="0" w:color="auto"/>
            <w:left w:val="none" w:sz="0" w:space="0" w:color="auto"/>
            <w:bottom w:val="none" w:sz="0" w:space="0" w:color="auto"/>
            <w:right w:val="none" w:sz="0" w:space="0" w:color="auto"/>
          </w:divBdr>
        </w:div>
        <w:div w:id="1588415764">
          <w:marLeft w:val="0"/>
          <w:marRight w:val="0"/>
          <w:marTop w:val="0"/>
          <w:marBottom w:val="0"/>
          <w:divBdr>
            <w:top w:val="none" w:sz="0" w:space="0" w:color="auto"/>
            <w:left w:val="none" w:sz="0" w:space="0" w:color="auto"/>
            <w:bottom w:val="none" w:sz="0" w:space="0" w:color="auto"/>
            <w:right w:val="none" w:sz="0" w:space="0" w:color="auto"/>
          </w:divBdr>
        </w:div>
        <w:div w:id="1589655841">
          <w:marLeft w:val="0"/>
          <w:marRight w:val="0"/>
          <w:marTop w:val="0"/>
          <w:marBottom w:val="0"/>
          <w:divBdr>
            <w:top w:val="none" w:sz="0" w:space="0" w:color="auto"/>
            <w:left w:val="none" w:sz="0" w:space="0" w:color="auto"/>
            <w:bottom w:val="none" w:sz="0" w:space="0" w:color="auto"/>
            <w:right w:val="none" w:sz="0" w:space="0" w:color="auto"/>
          </w:divBdr>
        </w:div>
        <w:div w:id="1755545190">
          <w:marLeft w:val="0"/>
          <w:marRight w:val="0"/>
          <w:marTop w:val="0"/>
          <w:marBottom w:val="0"/>
          <w:divBdr>
            <w:top w:val="none" w:sz="0" w:space="0" w:color="auto"/>
            <w:left w:val="none" w:sz="0" w:space="0" w:color="auto"/>
            <w:bottom w:val="none" w:sz="0" w:space="0" w:color="auto"/>
            <w:right w:val="none" w:sz="0" w:space="0" w:color="auto"/>
          </w:divBdr>
        </w:div>
        <w:div w:id="1777364477">
          <w:marLeft w:val="0"/>
          <w:marRight w:val="0"/>
          <w:marTop w:val="0"/>
          <w:marBottom w:val="0"/>
          <w:divBdr>
            <w:top w:val="none" w:sz="0" w:space="0" w:color="auto"/>
            <w:left w:val="none" w:sz="0" w:space="0" w:color="auto"/>
            <w:bottom w:val="none" w:sz="0" w:space="0" w:color="auto"/>
            <w:right w:val="none" w:sz="0" w:space="0" w:color="auto"/>
          </w:divBdr>
        </w:div>
        <w:div w:id="1919824568">
          <w:marLeft w:val="0"/>
          <w:marRight w:val="0"/>
          <w:marTop w:val="0"/>
          <w:marBottom w:val="0"/>
          <w:divBdr>
            <w:top w:val="none" w:sz="0" w:space="0" w:color="auto"/>
            <w:left w:val="none" w:sz="0" w:space="0" w:color="auto"/>
            <w:bottom w:val="none" w:sz="0" w:space="0" w:color="auto"/>
            <w:right w:val="none" w:sz="0" w:space="0" w:color="auto"/>
          </w:divBdr>
        </w:div>
        <w:div w:id="2027634194">
          <w:marLeft w:val="0"/>
          <w:marRight w:val="0"/>
          <w:marTop w:val="0"/>
          <w:marBottom w:val="0"/>
          <w:divBdr>
            <w:top w:val="none" w:sz="0" w:space="0" w:color="auto"/>
            <w:left w:val="none" w:sz="0" w:space="0" w:color="auto"/>
            <w:bottom w:val="none" w:sz="0" w:space="0" w:color="auto"/>
            <w:right w:val="none" w:sz="0" w:space="0" w:color="auto"/>
          </w:divBdr>
        </w:div>
      </w:divsChild>
    </w:div>
    <w:div w:id="1310555638">
      <w:bodyDiv w:val="1"/>
      <w:marLeft w:val="0"/>
      <w:marRight w:val="0"/>
      <w:marTop w:val="0"/>
      <w:marBottom w:val="0"/>
      <w:divBdr>
        <w:top w:val="none" w:sz="0" w:space="0" w:color="auto"/>
        <w:left w:val="none" w:sz="0" w:space="0" w:color="auto"/>
        <w:bottom w:val="none" w:sz="0" w:space="0" w:color="auto"/>
        <w:right w:val="none" w:sz="0" w:space="0" w:color="auto"/>
      </w:divBdr>
    </w:div>
    <w:div w:id="1313831495">
      <w:bodyDiv w:val="1"/>
      <w:marLeft w:val="0"/>
      <w:marRight w:val="0"/>
      <w:marTop w:val="0"/>
      <w:marBottom w:val="0"/>
      <w:divBdr>
        <w:top w:val="none" w:sz="0" w:space="0" w:color="auto"/>
        <w:left w:val="none" w:sz="0" w:space="0" w:color="auto"/>
        <w:bottom w:val="none" w:sz="0" w:space="0" w:color="auto"/>
        <w:right w:val="none" w:sz="0" w:space="0" w:color="auto"/>
      </w:divBdr>
    </w:div>
    <w:div w:id="1336415094">
      <w:bodyDiv w:val="1"/>
      <w:marLeft w:val="0"/>
      <w:marRight w:val="0"/>
      <w:marTop w:val="0"/>
      <w:marBottom w:val="0"/>
      <w:divBdr>
        <w:top w:val="none" w:sz="0" w:space="0" w:color="auto"/>
        <w:left w:val="none" w:sz="0" w:space="0" w:color="auto"/>
        <w:bottom w:val="none" w:sz="0" w:space="0" w:color="auto"/>
        <w:right w:val="none" w:sz="0" w:space="0" w:color="auto"/>
      </w:divBdr>
    </w:div>
    <w:div w:id="1345547006">
      <w:bodyDiv w:val="1"/>
      <w:marLeft w:val="0"/>
      <w:marRight w:val="0"/>
      <w:marTop w:val="0"/>
      <w:marBottom w:val="0"/>
      <w:divBdr>
        <w:top w:val="none" w:sz="0" w:space="0" w:color="auto"/>
        <w:left w:val="none" w:sz="0" w:space="0" w:color="auto"/>
        <w:bottom w:val="none" w:sz="0" w:space="0" w:color="auto"/>
        <w:right w:val="none" w:sz="0" w:space="0" w:color="auto"/>
      </w:divBdr>
      <w:divsChild>
        <w:div w:id="1375152990">
          <w:marLeft w:val="0"/>
          <w:marRight w:val="0"/>
          <w:marTop w:val="0"/>
          <w:marBottom w:val="0"/>
          <w:divBdr>
            <w:top w:val="none" w:sz="0" w:space="0" w:color="auto"/>
            <w:left w:val="none" w:sz="0" w:space="0" w:color="auto"/>
            <w:bottom w:val="none" w:sz="0" w:space="0" w:color="auto"/>
            <w:right w:val="none" w:sz="0" w:space="0" w:color="auto"/>
          </w:divBdr>
        </w:div>
        <w:div w:id="2007005705">
          <w:marLeft w:val="0"/>
          <w:marRight w:val="0"/>
          <w:marTop w:val="0"/>
          <w:marBottom w:val="0"/>
          <w:divBdr>
            <w:top w:val="none" w:sz="0" w:space="0" w:color="auto"/>
            <w:left w:val="none" w:sz="0" w:space="0" w:color="auto"/>
            <w:bottom w:val="none" w:sz="0" w:space="0" w:color="auto"/>
            <w:right w:val="none" w:sz="0" w:space="0" w:color="auto"/>
          </w:divBdr>
        </w:div>
      </w:divsChild>
    </w:div>
    <w:div w:id="1367559095">
      <w:bodyDiv w:val="1"/>
      <w:marLeft w:val="0"/>
      <w:marRight w:val="0"/>
      <w:marTop w:val="0"/>
      <w:marBottom w:val="0"/>
      <w:divBdr>
        <w:top w:val="none" w:sz="0" w:space="0" w:color="auto"/>
        <w:left w:val="none" w:sz="0" w:space="0" w:color="auto"/>
        <w:bottom w:val="none" w:sz="0" w:space="0" w:color="auto"/>
        <w:right w:val="none" w:sz="0" w:space="0" w:color="auto"/>
      </w:divBdr>
      <w:divsChild>
        <w:div w:id="646470915">
          <w:marLeft w:val="0"/>
          <w:marRight w:val="0"/>
          <w:marTop w:val="0"/>
          <w:marBottom w:val="0"/>
          <w:divBdr>
            <w:top w:val="none" w:sz="0" w:space="0" w:color="auto"/>
            <w:left w:val="none" w:sz="0" w:space="0" w:color="auto"/>
            <w:bottom w:val="none" w:sz="0" w:space="0" w:color="auto"/>
            <w:right w:val="none" w:sz="0" w:space="0" w:color="auto"/>
          </w:divBdr>
        </w:div>
        <w:div w:id="1462264338">
          <w:marLeft w:val="0"/>
          <w:marRight w:val="0"/>
          <w:marTop w:val="0"/>
          <w:marBottom w:val="0"/>
          <w:divBdr>
            <w:top w:val="none" w:sz="0" w:space="0" w:color="auto"/>
            <w:left w:val="none" w:sz="0" w:space="0" w:color="auto"/>
            <w:bottom w:val="none" w:sz="0" w:space="0" w:color="auto"/>
            <w:right w:val="none" w:sz="0" w:space="0" w:color="auto"/>
          </w:divBdr>
        </w:div>
        <w:div w:id="1797286890">
          <w:marLeft w:val="0"/>
          <w:marRight w:val="0"/>
          <w:marTop w:val="0"/>
          <w:marBottom w:val="0"/>
          <w:divBdr>
            <w:top w:val="none" w:sz="0" w:space="0" w:color="auto"/>
            <w:left w:val="none" w:sz="0" w:space="0" w:color="auto"/>
            <w:bottom w:val="none" w:sz="0" w:space="0" w:color="auto"/>
            <w:right w:val="none" w:sz="0" w:space="0" w:color="auto"/>
          </w:divBdr>
        </w:div>
        <w:div w:id="2127383917">
          <w:marLeft w:val="0"/>
          <w:marRight w:val="0"/>
          <w:marTop w:val="0"/>
          <w:marBottom w:val="0"/>
          <w:divBdr>
            <w:top w:val="none" w:sz="0" w:space="0" w:color="auto"/>
            <w:left w:val="none" w:sz="0" w:space="0" w:color="auto"/>
            <w:bottom w:val="none" w:sz="0" w:space="0" w:color="auto"/>
            <w:right w:val="none" w:sz="0" w:space="0" w:color="auto"/>
          </w:divBdr>
        </w:div>
      </w:divsChild>
    </w:div>
    <w:div w:id="1370909018">
      <w:bodyDiv w:val="1"/>
      <w:marLeft w:val="0"/>
      <w:marRight w:val="0"/>
      <w:marTop w:val="0"/>
      <w:marBottom w:val="0"/>
      <w:divBdr>
        <w:top w:val="none" w:sz="0" w:space="0" w:color="auto"/>
        <w:left w:val="none" w:sz="0" w:space="0" w:color="auto"/>
        <w:bottom w:val="none" w:sz="0" w:space="0" w:color="auto"/>
        <w:right w:val="none" w:sz="0" w:space="0" w:color="auto"/>
      </w:divBdr>
      <w:divsChild>
        <w:div w:id="648244158">
          <w:marLeft w:val="0"/>
          <w:marRight w:val="0"/>
          <w:marTop w:val="0"/>
          <w:marBottom w:val="0"/>
          <w:divBdr>
            <w:top w:val="none" w:sz="0" w:space="0" w:color="auto"/>
            <w:left w:val="none" w:sz="0" w:space="0" w:color="auto"/>
            <w:bottom w:val="none" w:sz="0" w:space="0" w:color="auto"/>
            <w:right w:val="none" w:sz="0" w:space="0" w:color="auto"/>
          </w:divBdr>
        </w:div>
        <w:div w:id="986124912">
          <w:marLeft w:val="0"/>
          <w:marRight w:val="0"/>
          <w:marTop w:val="0"/>
          <w:marBottom w:val="0"/>
          <w:divBdr>
            <w:top w:val="none" w:sz="0" w:space="0" w:color="auto"/>
            <w:left w:val="none" w:sz="0" w:space="0" w:color="auto"/>
            <w:bottom w:val="none" w:sz="0" w:space="0" w:color="auto"/>
            <w:right w:val="none" w:sz="0" w:space="0" w:color="auto"/>
          </w:divBdr>
          <w:divsChild>
            <w:div w:id="429863200">
              <w:marLeft w:val="0"/>
              <w:marRight w:val="0"/>
              <w:marTop w:val="30"/>
              <w:marBottom w:val="30"/>
              <w:divBdr>
                <w:top w:val="none" w:sz="0" w:space="0" w:color="auto"/>
                <w:left w:val="none" w:sz="0" w:space="0" w:color="auto"/>
                <w:bottom w:val="none" w:sz="0" w:space="0" w:color="auto"/>
                <w:right w:val="none" w:sz="0" w:space="0" w:color="auto"/>
              </w:divBdr>
              <w:divsChild>
                <w:div w:id="54667671">
                  <w:marLeft w:val="0"/>
                  <w:marRight w:val="0"/>
                  <w:marTop w:val="0"/>
                  <w:marBottom w:val="0"/>
                  <w:divBdr>
                    <w:top w:val="none" w:sz="0" w:space="0" w:color="auto"/>
                    <w:left w:val="none" w:sz="0" w:space="0" w:color="auto"/>
                    <w:bottom w:val="none" w:sz="0" w:space="0" w:color="auto"/>
                    <w:right w:val="none" w:sz="0" w:space="0" w:color="auto"/>
                  </w:divBdr>
                  <w:divsChild>
                    <w:div w:id="1781531922">
                      <w:marLeft w:val="0"/>
                      <w:marRight w:val="0"/>
                      <w:marTop w:val="0"/>
                      <w:marBottom w:val="0"/>
                      <w:divBdr>
                        <w:top w:val="none" w:sz="0" w:space="0" w:color="auto"/>
                        <w:left w:val="none" w:sz="0" w:space="0" w:color="auto"/>
                        <w:bottom w:val="none" w:sz="0" w:space="0" w:color="auto"/>
                        <w:right w:val="none" w:sz="0" w:space="0" w:color="auto"/>
                      </w:divBdr>
                    </w:div>
                  </w:divsChild>
                </w:div>
                <w:div w:id="59794987">
                  <w:marLeft w:val="0"/>
                  <w:marRight w:val="0"/>
                  <w:marTop w:val="0"/>
                  <w:marBottom w:val="0"/>
                  <w:divBdr>
                    <w:top w:val="none" w:sz="0" w:space="0" w:color="auto"/>
                    <w:left w:val="none" w:sz="0" w:space="0" w:color="auto"/>
                    <w:bottom w:val="none" w:sz="0" w:space="0" w:color="auto"/>
                    <w:right w:val="none" w:sz="0" w:space="0" w:color="auto"/>
                  </w:divBdr>
                  <w:divsChild>
                    <w:div w:id="1576864519">
                      <w:marLeft w:val="0"/>
                      <w:marRight w:val="0"/>
                      <w:marTop w:val="0"/>
                      <w:marBottom w:val="0"/>
                      <w:divBdr>
                        <w:top w:val="none" w:sz="0" w:space="0" w:color="auto"/>
                        <w:left w:val="none" w:sz="0" w:space="0" w:color="auto"/>
                        <w:bottom w:val="none" w:sz="0" w:space="0" w:color="auto"/>
                        <w:right w:val="none" w:sz="0" w:space="0" w:color="auto"/>
                      </w:divBdr>
                    </w:div>
                  </w:divsChild>
                </w:div>
                <w:div w:id="168759289">
                  <w:marLeft w:val="0"/>
                  <w:marRight w:val="0"/>
                  <w:marTop w:val="0"/>
                  <w:marBottom w:val="0"/>
                  <w:divBdr>
                    <w:top w:val="none" w:sz="0" w:space="0" w:color="auto"/>
                    <w:left w:val="none" w:sz="0" w:space="0" w:color="auto"/>
                    <w:bottom w:val="none" w:sz="0" w:space="0" w:color="auto"/>
                    <w:right w:val="none" w:sz="0" w:space="0" w:color="auto"/>
                  </w:divBdr>
                  <w:divsChild>
                    <w:div w:id="341710656">
                      <w:marLeft w:val="0"/>
                      <w:marRight w:val="0"/>
                      <w:marTop w:val="0"/>
                      <w:marBottom w:val="0"/>
                      <w:divBdr>
                        <w:top w:val="none" w:sz="0" w:space="0" w:color="auto"/>
                        <w:left w:val="none" w:sz="0" w:space="0" w:color="auto"/>
                        <w:bottom w:val="none" w:sz="0" w:space="0" w:color="auto"/>
                        <w:right w:val="none" w:sz="0" w:space="0" w:color="auto"/>
                      </w:divBdr>
                    </w:div>
                  </w:divsChild>
                </w:div>
                <w:div w:id="217326906">
                  <w:marLeft w:val="0"/>
                  <w:marRight w:val="0"/>
                  <w:marTop w:val="0"/>
                  <w:marBottom w:val="0"/>
                  <w:divBdr>
                    <w:top w:val="none" w:sz="0" w:space="0" w:color="auto"/>
                    <w:left w:val="none" w:sz="0" w:space="0" w:color="auto"/>
                    <w:bottom w:val="none" w:sz="0" w:space="0" w:color="auto"/>
                    <w:right w:val="none" w:sz="0" w:space="0" w:color="auto"/>
                  </w:divBdr>
                  <w:divsChild>
                    <w:div w:id="1062945970">
                      <w:marLeft w:val="0"/>
                      <w:marRight w:val="0"/>
                      <w:marTop w:val="0"/>
                      <w:marBottom w:val="0"/>
                      <w:divBdr>
                        <w:top w:val="none" w:sz="0" w:space="0" w:color="auto"/>
                        <w:left w:val="none" w:sz="0" w:space="0" w:color="auto"/>
                        <w:bottom w:val="none" w:sz="0" w:space="0" w:color="auto"/>
                        <w:right w:val="none" w:sz="0" w:space="0" w:color="auto"/>
                      </w:divBdr>
                    </w:div>
                  </w:divsChild>
                </w:div>
                <w:div w:id="245380570">
                  <w:marLeft w:val="0"/>
                  <w:marRight w:val="0"/>
                  <w:marTop w:val="0"/>
                  <w:marBottom w:val="0"/>
                  <w:divBdr>
                    <w:top w:val="none" w:sz="0" w:space="0" w:color="auto"/>
                    <w:left w:val="none" w:sz="0" w:space="0" w:color="auto"/>
                    <w:bottom w:val="none" w:sz="0" w:space="0" w:color="auto"/>
                    <w:right w:val="none" w:sz="0" w:space="0" w:color="auto"/>
                  </w:divBdr>
                  <w:divsChild>
                    <w:div w:id="642779394">
                      <w:marLeft w:val="0"/>
                      <w:marRight w:val="0"/>
                      <w:marTop w:val="0"/>
                      <w:marBottom w:val="0"/>
                      <w:divBdr>
                        <w:top w:val="none" w:sz="0" w:space="0" w:color="auto"/>
                        <w:left w:val="none" w:sz="0" w:space="0" w:color="auto"/>
                        <w:bottom w:val="none" w:sz="0" w:space="0" w:color="auto"/>
                        <w:right w:val="none" w:sz="0" w:space="0" w:color="auto"/>
                      </w:divBdr>
                    </w:div>
                  </w:divsChild>
                </w:div>
                <w:div w:id="248387118">
                  <w:marLeft w:val="0"/>
                  <w:marRight w:val="0"/>
                  <w:marTop w:val="0"/>
                  <w:marBottom w:val="0"/>
                  <w:divBdr>
                    <w:top w:val="none" w:sz="0" w:space="0" w:color="auto"/>
                    <w:left w:val="none" w:sz="0" w:space="0" w:color="auto"/>
                    <w:bottom w:val="none" w:sz="0" w:space="0" w:color="auto"/>
                    <w:right w:val="none" w:sz="0" w:space="0" w:color="auto"/>
                  </w:divBdr>
                  <w:divsChild>
                    <w:div w:id="521669716">
                      <w:marLeft w:val="0"/>
                      <w:marRight w:val="0"/>
                      <w:marTop w:val="0"/>
                      <w:marBottom w:val="0"/>
                      <w:divBdr>
                        <w:top w:val="none" w:sz="0" w:space="0" w:color="auto"/>
                        <w:left w:val="none" w:sz="0" w:space="0" w:color="auto"/>
                        <w:bottom w:val="none" w:sz="0" w:space="0" w:color="auto"/>
                        <w:right w:val="none" w:sz="0" w:space="0" w:color="auto"/>
                      </w:divBdr>
                    </w:div>
                  </w:divsChild>
                </w:div>
                <w:div w:id="425469413">
                  <w:marLeft w:val="0"/>
                  <w:marRight w:val="0"/>
                  <w:marTop w:val="0"/>
                  <w:marBottom w:val="0"/>
                  <w:divBdr>
                    <w:top w:val="none" w:sz="0" w:space="0" w:color="auto"/>
                    <w:left w:val="none" w:sz="0" w:space="0" w:color="auto"/>
                    <w:bottom w:val="none" w:sz="0" w:space="0" w:color="auto"/>
                    <w:right w:val="none" w:sz="0" w:space="0" w:color="auto"/>
                  </w:divBdr>
                  <w:divsChild>
                    <w:div w:id="20254405">
                      <w:marLeft w:val="0"/>
                      <w:marRight w:val="0"/>
                      <w:marTop w:val="0"/>
                      <w:marBottom w:val="0"/>
                      <w:divBdr>
                        <w:top w:val="none" w:sz="0" w:space="0" w:color="auto"/>
                        <w:left w:val="none" w:sz="0" w:space="0" w:color="auto"/>
                        <w:bottom w:val="none" w:sz="0" w:space="0" w:color="auto"/>
                        <w:right w:val="none" w:sz="0" w:space="0" w:color="auto"/>
                      </w:divBdr>
                    </w:div>
                  </w:divsChild>
                </w:div>
                <w:div w:id="489295057">
                  <w:marLeft w:val="0"/>
                  <w:marRight w:val="0"/>
                  <w:marTop w:val="0"/>
                  <w:marBottom w:val="0"/>
                  <w:divBdr>
                    <w:top w:val="none" w:sz="0" w:space="0" w:color="auto"/>
                    <w:left w:val="none" w:sz="0" w:space="0" w:color="auto"/>
                    <w:bottom w:val="none" w:sz="0" w:space="0" w:color="auto"/>
                    <w:right w:val="none" w:sz="0" w:space="0" w:color="auto"/>
                  </w:divBdr>
                  <w:divsChild>
                    <w:div w:id="42366414">
                      <w:marLeft w:val="0"/>
                      <w:marRight w:val="0"/>
                      <w:marTop w:val="0"/>
                      <w:marBottom w:val="0"/>
                      <w:divBdr>
                        <w:top w:val="none" w:sz="0" w:space="0" w:color="auto"/>
                        <w:left w:val="none" w:sz="0" w:space="0" w:color="auto"/>
                        <w:bottom w:val="none" w:sz="0" w:space="0" w:color="auto"/>
                        <w:right w:val="none" w:sz="0" w:space="0" w:color="auto"/>
                      </w:divBdr>
                    </w:div>
                  </w:divsChild>
                </w:div>
                <w:div w:id="533691939">
                  <w:marLeft w:val="0"/>
                  <w:marRight w:val="0"/>
                  <w:marTop w:val="0"/>
                  <w:marBottom w:val="0"/>
                  <w:divBdr>
                    <w:top w:val="none" w:sz="0" w:space="0" w:color="auto"/>
                    <w:left w:val="none" w:sz="0" w:space="0" w:color="auto"/>
                    <w:bottom w:val="none" w:sz="0" w:space="0" w:color="auto"/>
                    <w:right w:val="none" w:sz="0" w:space="0" w:color="auto"/>
                  </w:divBdr>
                  <w:divsChild>
                    <w:div w:id="646662657">
                      <w:marLeft w:val="0"/>
                      <w:marRight w:val="0"/>
                      <w:marTop w:val="0"/>
                      <w:marBottom w:val="0"/>
                      <w:divBdr>
                        <w:top w:val="none" w:sz="0" w:space="0" w:color="auto"/>
                        <w:left w:val="none" w:sz="0" w:space="0" w:color="auto"/>
                        <w:bottom w:val="none" w:sz="0" w:space="0" w:color="auto"/>
                        <w:right w:val="none" w:sz="0" w:space="0" w:color="auto"/>
                      </w:divBdr>
                    </w:div>
                  </w:divsChild>
                </w:div>
                <w:div w:id="539316277">
                  <w:marLeft w:val="0"/>
                  <w:marRight w:val="0"/>
                  <w:marTop w:val="0"/>
                  <w:marBottom w:val="0"/>
                  <w:divBdr>
                    <w:top w:val="none" w:sz="0" w:space="0" w:color="auto"/>
                    <w:left w:val="none" w:sz="0" w:space="0" w:color="auto"/>
                    <w:bottom w:val="none" w:sz="0" w:space="0" w:color="auto"/>
                    <w:right w:val="none" w:sz="0" w:space="0" w:color="auto"/>
                  </w:divBdr>
                  <w:divsChild>
                    <w:div w:id="1856266161">
                      <w:marLeft w:val="0"/>
                      <w:marRight w:val="0"/>
                      <w:marTop w:val="0"/>
                      <w:marBottom w:val="0"/>
                      <w:divBdr>
                        <w:top w:val="none" w:sz="0" w:space="0" w:color="auto"/>
                        <w:left w:val="none" w:sz="0" w:space="0" w:color="auto"/>
                        <w:bottom w:val="none" w:sz="0" w:space="0" w:color="auto"/>
                        <w:right w:val="none" w:sz="0" w:space="0" w:color="auto"/>
                      </w:divBdr>
                    </w:div>
                  </w:divsChild>
                </w:div>
                <w:div w:id="583875519">
                  <w:marLeft w:val="0"/>
                  <w:marRight w:val="0"/>
                  <w:marTop w:val="0"/>
                  <w:marBottom w:val="0"/>
                  <w:divBdr>
                    <w:top w:val="none" w:sz="0" w:space="0" w:color="auto"/>
                    <w:left w:val="none" w:sz="0" w:space="0" w:color="auto"/>
                    <w:bottom w:val="none" w:sz="0" w:space="0" w:color="auto"/>
                    <w:right w:val="none" w:sz="0" w:space="0" w:color="auto"/>
                  </w:divBdr>
                  <w:divsChild>
                    <w:div w:id="18892852">
                      <w:marLeft w:val="0"/>
                      <w:marRight w:val="0"/>
                      <w:marTop w:val="0"/>
                      <w:marBottom w:val="0"/>
                      <w:divBdr>
                        <w:top w:val="none" w:sz="0" w:space="0" w:color="auto"/>
                        <w:left w:val="none" w:sz="0" w:space="0" w:color="auto"/>
                        <w:bottom w:val="none" w:sz="0" w:space="0" w:color="auto"/>
                        <w:right w:val="none" w:sz="0" w:space="0" w:color="auto"/>
                      </w:divBdr>
                    </w:div>
                  </w:divsChild>
                </w:div>
                <w:div w:id="609820238">
                  <w:marLeft w:val="0"/>
                  <w:marRight w:val="0"/>
                  <w:marTop w:val="0"/>
                  <w:marBottom w:val="0"/>
                  <w:divBdr>
                    <w:top w:val="none" w:sz="0" w:space="0" w:color="auto"/>
                    <w:left w:val="none" w:sz="0" w:space="0" w:color="auto"/>
                    <w:bottom w:val="none" w:sz="0" w:space="0" w:color="auto"/>
                    <w:right w:val="none" w:sz="0" w:space="0" w:color="auto"/>
                  </w:divBdr>
                  <w:divsChild>
                    <w:div w:id="1006713474">
                      <w:marLeft w:val="0"/>
                      <w:marRight w:val="0"/>
                      <w:marTop w:val="0"/>
                      <w:marBottom w:val="0"/>
                      <w:divBdr>
                        <w:top w:val="none" w:sz="0" w:space="0" w:color="auto"/>
                        <w:left w:val="none" w:sz="0" w:space="0" w:color="auto"/>
                        <w:bottom w:val="none" w:sz="0" w:space="0" w:color="auto"/>
                        <w:right w:val="none" w:sz="0" w:space="0" w:color="auto"/>
                      </w:divBdr>
                    </w:div>
                  </w:divsChild>
                </w:div>
                <w:div w:id="665595873">
                  <w:marLeft w:val="0"/>
                  <w:marRight w:val="0"/>
                  <w:marTop w:val="0"/>
                  <w:marBottom w:val="0"/>
                  <w:divBdr>
                    <w:top w:val="none" w:sz="0" w:space="0" w:color="auto"/>
                    <w:left w:val="none" w:sz="0" w:space="0" w:color="auto"/>
                    <w:bottom w:val="none" w:sz="0" w:space="0" w:color="auto"/>
                    <w:right w:val="none" w:sz="0" w:space="0" w:color="auto"/>
                  </w:divBdr>
                  <w:divsChild>
                    <w:div w:id="1030647166">
                      <w:marLeft w:val="0"/>
                      <w:marRight w:val="0"/>
                      <w:marTop w:val="0"/>
                      <w:marBottom w:val="0"/>
                      <w:divBdr>
                        <w:top w:val="none" w:sz="0" w:space="0" w:color="auto"/>
                        <w:left w:val="none" w:sz="0" w:space="0" w:color="auto"/>
                        <w:bottom w:val="none" w:sz="0" w:space="0" w:color="auto"/>
                        <w:right w:val="none" w:sz="0" w:space="0" w:color="auto"/>
                      </w:divBdr>
                    </w:div>
                  </w:divsChild>
                </w:div>
                <w:div w:id="713307898">
                  <w:marLeft w:val="0"/>
                  <w:marRight w:val="0"/>
                  <w:marTop w:val="0"/>
                  <w:marBottom w:val="0"/>
                  <w:divBdr>
                    <w:top w:val="none" w:sz="0" w:space="0" w:color="auto"/>
                    <w:left w:val="none" w:sz="0" w:space="0" w:color="auto"/>
                    <w:bottom w:val="none" w:sz="0" w:space="0" w:color="auto"/>
                    <w:right w:val="none" w:sz="0" w:space="0" w:color="auto"/>
                  </w:divBdr>
                  <w:divsChild>
                    <w:div w:id="280309260">
                      <w:marLeft w:val="0"/>
                      <w:marRight w:val="0"/>
                      <w:marTop w:val="0"/>
                      <w:marBottom w:val="0"/>
                      <w:divBdr>
                        <w:top w:val="none" w:sz="0" w:space="0" w:color="auto"/>
                        <w:left w:val="none" w:sz="0" w:space="0" w:color="auto"/>
                        <w:bottom w:val="none" w:sz="0" w:space="0" w:color="auto"/>
                        <w:right w:val="none" w:sz="0" w:space="0" w:color="auto"/>
                      </w:divBdr>
                    </w:div>
                  </w:divsChild>
                </w:div>
                <w:div w:id="713654200">
                  <w:marLeft w:val="0"/>
                  <w:marRight w:val="0"/>
                  <w:marTop w:val="0"/>
                  <w:marBottom w:val="0"/>
                  <w:divBdr>
                    <w:top w:val="none" w:sz="0" w:space="0" w:color="auto"/>
                    <w:left w:val="none" w:sz="0" w:space="0" w:color="auto"/>
                    <w:bottom w:val="none" w:sz="0" w:space="0" w:color="auto"/>
                    <w:right w:val="none" w:sz="0" w:space="0" w:color="auto"/>
                  </w:divBdr>
                  <w:divsChild>
                    <w:div w:id="1750031281">
                      <w:marLeft w:val="0"/>
                      <w:marRight w:val="0"/>
                      <w:marTop w:val="0"/>
                      <w:marBottom w:val="0"/>
                      <w:divBdr>
                        <w:top w:val="none" w:sz="0" w:space="0" w:color="auto"/>
                        <w:left w:val="none" w:sz="0" w:space="0" w:color="auto"/>
                        <w:bottom w:val="none" w:sz="0" w:space="0" w:color="auto"/>
                        <w:right w:val="none" w:sz="0" w:space="0" w:color="auto"/>
                      </w:divBdr>
                    </w:div>
                  </w:divsChild>
                </w:div>
                <w:div w:id="764300416">
                  <w:marLeft w:val="0"/>
                  <w:marRight w:val="0"/>
                  <w:marTop w:val="0"/>
                  <w:marBottom w:val="0"/>
                  <w:divBdr>
                    <w:top w:val="none" w:sz="0" w:space="0" w:color="auto"/>
                    <w:left w:val="none" w:sz="0" w:space="0" w:color="auto"/>
                    <w:bottom w:val="none" w:sz="0" w:space="0" w:color="auto"/>
                    <w:right w:val="none" w:sz="0" w:space="0" w:color="auto"/>
                  </w:divBdr>
                  <w:divsChild>
                    <w:div w:id="71127550">
                      <w:marLeft w:val="0"/>
                      <w:marRight w:val="0"/>
                      <w:marTop w:val="0"/>
                      <w:marBottom w:val="0"/>
                      <w:divBdr>
                        <w:top w:val="none" w:sz="0" w:space="0" w:color="auto"/>
                        <w:left w:val="none" w:sz="0" w:space="0" w:color="auto"/>
                        <w:bottom w:val="none" w:sz="0" w:space="0" w:color="auto"/>
                        <w:right w:val="none" w:sz="0" w:space="0" w:color="auto"/>
                      </w:divBdr>
                    </w:div>
                  </w:divsChild>
                </w:div>
                <w:div w:id="813719438">
                  <w:marLeft w:val="0"/>
                  <w:marRight w:val="0"/>
                  <w:marTop w:val="0"/>
                  <w:marBottom w:val="0"/>
                  <w:divBdr>
                    <w:top w:val="none" w:sz="0" w:space="0" w:color="auto"/>
                    <w:left w:val="none" w:sz="0" w:space="0" w:color="auto"/>
                    <w:bottom w:val="none" w:sz="0" w:space="0" w:color="auto"/>
                    <w:right w:val="none" w:sz="0" w:space="0" w:color="auto"/>
                  </w:divBdr>
                  <w:divsChild>
                    <w:div w:id="549078829">
                      <w:marLeft w:val="0"/>
                      <w:marRight w:val="0"/>
                      <w:marTop w:val="0"/>
                      <w:marBottom w:val="0"/>
                      <w:divBdr>
                        <w:top w:val="none" w:sz="0" w:space="0" w:color="auto"/>
                        <w:left w:val="none" w:sz="0" w:space="0" w:color="auto"/>
                        <w:bottom w:val="none" w:sz="0" w:space="0" w:color="auto"/>
                        <w:right w:val="none" w:sz="0" w:space="0" w:color="auto"/>
                      </w:divBdr>
                    </w:div>
                  </w:divsChild>
                </w:div>
                <w:div w:id="832795454">
                  <w:marLeft w:val="0"/>
                  <w:marRight w:val="0"/>
                  <w:marTop w:val="0"/>
                  <w:marBottom w:val="0"/>
                  <w:divBdr>
                    <w:top w:val="none" w:sz="0" w:space="0" w:color="auto"/>
                    <w:left w:val="none" w:sz="0" w:space="0" w:color="auto"/>
                    <w:bottom w:val="none" w:sz="0" w:space="0" w:color="auto"/>
                    <w:right w:val="none" w:sz="0" w:space="0" w:color="auto"/>
                  </w:divBdr>
                  <w:divsChild>
                    <w:div w:id="85419136">
                      <w:marLeft w:val="0"/>
                      <w:marRight w:val="0"/>
                      <w:marTop w:val="0"/>
                      <w:marBottom w:val="0"/>
                      <w:divBdr>
                        <w:top w:val="none" w:sz="0" w:space="0" w:color="auto"/>
                        <w:left w:val="none" w:sz="0" w:space="0" w:color="auto"/>
                        <w:bottom w:val="none" w:sz="0" w:space="0" w:color="auto"/>
                        <w:right w:val="none" w:sz="0" w:space="0" w:color="auto"/>
                      </w:divBdr>
                    </w:div>
                  </w:divsChild>
                </w:div>
                <w:div w:id="846989870">
                  <w:marLeft w:val="0"/>
                  <w:marRight w:val="0"/>
                  <w:marTop w:val="0"/>
                  <w:marBottom w:val="0"/>
                  <w:divBdr>
                    <w:top w:val="none" w:sz="0" w:space="0" w:color="auto"/>
                    <w:left w:val="none" w:sz="0" w:space="0" w:color="auto"/>
                    <w:bottom w:val="none" w:sz="0" w:space="0" w:color="auto"/>
                    <w:right w:val="none" w:sz="0" w:space="0" w:color="auto"/>
                  </w:divBdr>
                  <w:divsChild>
                    <w:div w:id="465779721">
                      <w:marLeft w:val="0"/>
                      <w:marRight w:val="0"/>
                      <w:marTop w:val="0"/>
                      <w:marBottom w:val="0"/>
                      <w:divBdr>
                        <w:top w:val="none" w:sz="0" w:space="0" w:color="auto"/>
                        <w:left w:val="none" w:sz="0" w:space="0" w:color="auto"/>
                        <w:bottom w:val="none" w:sz="0" w:space="0" w:color="auto"/>
                        <w:right w:val="none" w:sz="0" w:space="0" w:color="auto"/>
                      </w:divBdr>
                    </w:div>
                  </w:divsChild>
                </w:div>
                <w:div w:id="889997025">
                  <w:marLeft w:val="0"/>
                  <w:marRight w:val="0"/>
                  <w:marTop w:val="0"/>
                  <w:marBottom w:val="0"/>
                  <w:divBdr>
                    <w:top w:val="none" w:sz="0" w:space="0" w:color="auto"/>
                    <w:left w:val="none" w:sz="0" w:space="0" w:color="auto"/>
                    <w:bottom w:val="none" w:sz="0" w:space="0" w:color="auto"/>
                    <w:right w:val="none" w:sz="0" w:space="0" w:color="auto"/>
                  </w:divBdr>
                  <w:divsChild>
                    <w:div w:id="1195845803">
                      <w:marLeft w:val="0"/>
                      <w:marRight w:val="0"/>
                      <w:marTop w:val="0"/>
                      <w:marBottom w:val="0"/>
                      <w:divBdr>
                        <w:top w:val="none" w:sz="0" w:space="0" w:color="auto"/>
                        <w:left w:val="none" w:sz="0" w:space="0" w:color="auto"/>
                        <w:bottom w:val="none" w:sz="0" w:space="0" w:color="auto"/>
                        <w:right w:val="none" w:sz="0" w:space="0" w:color="auto"/>
                      </w:divBdr>
                    </w:div>
                  </w:divsChild>
                </w:div>
                <w:div w:id="910239677">
                  <w:marLeft w:val="0"/>
                  <w:marRight w:val="0"/>
                  <w:marTop w:val="0"/>
                  <w:marBottom w:val="0"/>
                  <w:divBdr>
                    <w:top w:val="none" w:sz="0" w:space="0" w:color="auto"/>
                    <w:left w:val="none" w:sz="0" w:space="0" w:color="auto"/>
                    <w:bottom w:val="none" w:sz="0" w:space="0" w:color="auto"/>
                    <w:right w:val="none" w:sz="0" w:space="0" w:color="auto"/>
                  </w:divBdr>
                  <w:divsChild>
                    <w:div w:id="1049036128">
                      <w:marLeft w:val="0"/>
                      <w:marRight w:val="0"/>
                      <w:marTop w:val="0"/>
                      <w:marBottom w:val="0"/>
                      <w:divBdr>
                        <w:top w:val="none" w:sz="0" w:space="0" w:color="auto"/>
                        <w:left w:val="none" w:sz="0" w:space="0" w:color="auto"/>
                        <w:bottom w:val="none" w:sz="0" w:space="0" w:color="auto"/>
                        <w:right w:val="none" w:sz="0" w:space="0" w:color="auto"/>
                      </w:divBdr>
                    </w:div>
                  </w:divsChild>
                </w:div>
                <w:div w:id="938489952">
                  <w:marLeft w:val="0"/>
                  <w:marRight w:val="0"/>
                  <w:marTop w:val="0"/>
                  <w:marBottom w:val="0"/>
                  <w:divBdr>
                    <w:top w:val="none" w:sz="0" w:space="0" w:color="auto"/>
                    <w:left w:val="none" w:sz="0" w:space="0" w:color="auto"/>
                    <w:bottom w:val="none" w:sz="0" w:space="0" w:color="auto"/>
                    <w:right w:val="none" w:sz="0" w:space="0" w:color="auto"/>
                  </w:divBdr>
                  <w:divsChild>
                    <w:div w:id="1333331940">
                      <w:marLeft w:val="0"/>
                      <w:marRight w:val="0"/>
                      <w:marTop w:val="0"/>
                      <w:marBottom w:val="0"/>
                      <w:divBdr>
                        <w:top w:val="none" w:sz="0" w:space="0" w:color="auto"/>
                        <w:left w:val="none" w:sz="0" w:space="0" w:color="auto"/>
                        <w:bottom w:val="none" w:sz="0" w:space="0" w:color="auto"/>
                        <w:right w:val="none" w:sz="0" w:space="0" w:color="auto"/>
                      </w:divBdr>
                    </w:div>
                  </w:divsChild>
                </w:div>
                <w:div w:id="1062483149">
                  <w:marLeft w:val="0"/>
                  <w:marRight w:val="0"/>
                  <w:marTop w:val="0"/>
                  <w:marBottom w:val="0"/>
                  <w:divBdr>
                    <w:top w:val="none" w:sz="0" w:space="0" w:color="auto"/>
                    <w:left w:val="none" w:sz="0" w:space="0" w:color="auto"/>
                    <w:bottom w:val="none" w:sz="0" w:space="0" w:color="auto"/>
                    <w:right w:val="none" w:sz="0" w:space="0" w:color="auto"/>
                  </w:divBdr>
                  <w:divsChild>
                    <w:div w:id="1587613365">
                      <w:marLeft w:val="0"/>
                      <w:marRight w:val="0"/>
                      <w:marTop w:val="0"/>
                      <w:marBottom w:val="0"/>
                      <w:divBdr>
                        <w:top w:val="none" w:sz="0" w:space="0" w:color="auto"/>
                        <w:left w:val="none" w:sz="0" w:space="0" w:color="auto"/>
                        <w:bottom w:val="none" w:sz="0" w:space="0" w:color="auto"/>
                        <w:right w:val="none" w:sz="0" w:space="0" w:color="auto"/>
                      </w:divBdr>
                    </w:div>
                  </w:divsChild>
                </w:div>
                <w:div w:id="1148664412">
                  <w:marLeft w:val="0"/>
                  <w:marRight w:val="0"/>
                  <w:marTop w:val="0"/>
                  <w:marBottom w:val="0"/>
                  <w:divBdr>
                    <w:top w:val="none" w:sz="0" w:space="0" w:color="auto"/>
                    <w:left w:val="none" w:sz="0" w:space="0" w:color="auto"/>
                    <w:bottom w:val="none" w:sz="0" w:space="0" w:color="auto"/>
                    <w:right w:val="none" w:sz="0" w:space="0" w:color="auto"/>
                  </w:divBdr>
                  <w:divsChild>
                    <w:div w:id="1500584587">
                      <w:marLeft w:val="0"/>
                      <w:marRight w:val="0"/>
                      <w:marTop w:val="0"/>
                      <w:marBottom w:val="0"/>
                      <w:divBdr>
                        <w:top w:val="none" w:sz="0" w:space="0" w:color="auto"/>
                        <w:left w:val="none" w:sz="0" w:space="0" w:color="auto"/>
                        <w:bottom w:val="none" w:sz="0" w:space="0" w:color="auto"/>
                        <w:right w:val="none" w:sz="0" w:space="0" w:color="auto"/>
                      </w:divBdr>
                    </w:div>
                  </w:divsChild>
                </w:div>
                <w:div w:id="1213804626">
                  <w:marLeft w:val="0"/>
                  <w:marRight w:val="0"/>
                  <w:marTop w:val="0"/>
                  <w:marBottom w:val="0"/>
                  <w:divBdr>
                    <w:top w:val="none" w:sz="0" w:space="0" w:color="auto"/>
                    <w:left w:val="none" w:sz="0" w:space="0" w:color="auto"/>
                    <w:bottom w:val="none" w:sz="0" w:space="0" w:color="auto"/>
                    <w:right w:val="none" w:sz="0" w:space="0" w:color="auto"/>
                  </w:divBdr>
                  <w:divsChild>
                    <w:div w:id="749353583">
                      <w:marLeft w:val="0"/>
                      <w:marRight w:val="0"/>
                      <w:marTop w:val="0"/>
                      <w:marBottom w:val="0"/>
                      <w:divBdr>
                        <w:top w:val="none" w:sz="0" w:space="0" w:color="auto"/>
                        <w:left w:val="none" w:sz="0" w:space="0" w:color="auto"/>
                        <w:bottom w:val="none" w:sz="0" w:space="0" w:color="auto"/>
                        <w:right w:val="none" w:sz="0" w:space="0" w:color="auto"/>
                      </w:divBdr>
                    </w:div>
                  </w:divsChild>
                </w:div>
                <w:div w:id="1239906353">
                  <w:marLeft w:val="0"/>
                  <w:marRight w:val="0"/>
                  <w:marTop w:val="0"/>
                  <w:marBottom w:val="0"/>
                  <w:divBdr>
                    <w:top w:val="none" w:sz="0" w:space="0" w:color="auto"/>
                    <w:left w:val="none" w:sz="0" w:space="0" w:color="auto"/>
                    <w:bottom w:val="none" w:sz="0" w:space="0" w:color="auto"/>
                    <w:right w:val="none" w:sz="0" w:space="0" w:color="auto"/>
                  </w:divBdr>
                  <w:divsChild>
                    <w:div w:id="1926259587">
                      <w:marLeft w:val="0"/>
                      <w:marRight w:val="0"/>
                      <w:marTop w:val="0"/>
                      <w:marBottom w:val="0"/>
                      <w:divBdr>
                        <w:top w:val="none" w:sz="0" w:space="0" w:color="auto"/>
                        <w:left w:val="none" w:sz="0" w:space="0" w:color="auto"/>
                        <w:bottom w:val="none" w:sz="0" w:space="0" w:color="auto"/>
                        <w:right w:val="none" w:sz="0" w:space="0" w:color="auto"/>
                      </w:divBdr>
                    </w:div>
                  </w:divsChild>
                </w:div>
                <w:div w:id="1287854311">
                  <w:marLeft w:val="0"/>
                  <w:marRight w:val="0"/>
                  <w:marTop w:val="0"/>
                  <w:marBottom w:val="0"/>
                  <w:divBdr>
                    <w:top w:val="none" w:sz="0" w:space="0" w:color="auto"/>
                    <w:left w:val="none" w:sz="0" w:space="0" w:color="auto"/>
                    <w:bottom w:val="none" w:sz="0" w:space="0" w:color="auto"/>
                    <w:right w:val="none" w:sz="0" w:space="0" w:color="auto"/>
                  </w:divBdr>
                  <w:divsChild>
                    <w:div w:id="713235723">
                      <w:marLeft w:val="0"/>
                      <w:marRight w:val="0"/>
                      <w:marTop w:val="0"/>
                      <w:marBottom w:val="0"/>
                      <w:divBdr>
                        <w:top w:val="none" w:sz="0" w:space="0" w:color="auto"/>
                        <w:left w:val="none" w:sz="0" w:space="0" w:color="auto"/>
                        <w:bottom w:val="none" w:sz="0" w:space="0" w:color="auto"/>
                        <w:right w:val="none" w:sz="0" w:space="0" w:color="auto"/>
                      </w:divBdr>
                    </w:div>
                  </w:divsChild>
                </w:div>
                <w:div w:id="1358040260">
                  <w:marLeft w:val="0"/>
                  <w:marRight w:val="0"/>
                  <w:marTop w:val="0"/>
                  <w:marBottom w:val="0"/>
                  <w:divBdr>
                    <w:top w:val="none" w:sz="0" w:space="0" w:color="auto"/>
                    <w:left w:val="none" w:sz="0" w:space="0" w:color="auto"/>
                    <w:bottom w:val="none" w:sz="0" w:space="0" w:color="auto"/>
                    <w:right w:val="none" w:sz="0" w:space="0" w:color="auto"/>
                  </w:divBdr>
                  <w:divsChild>
                    <w:div w:id="1783261981">
                      <w:marLeft w:val="0"/>
                      <w:marRight w:val="0"/>
                      <w:marTop w:val="0"/>
                      <w:marBottom w:val="0"/>
                      <w:divBdr>
                        <w:top w:val="none" w:sz="0" w:space="0" w:color="auto"/>
                        <w:left w:val="none" w:sz="0" w:space="0" w:color="auto"/>
                        <w:bottom w:val="none" w:sz="0" w:space="0" w:color="auto"/>
                        <w:right w:val="none" w:sz="0" w:space="0" w:color="auto"/>
                      </w:divBdr>
                    </w:div>
                  </w:divsChild>
                </w:div>
                <w:div w:id="1524317495">
                  <w:marLeft w:val="0"/>
                  <w:marRight w:val="0"/>
                  <w:marTop w:val="0"/>
                  <w:marBottom w:val="0"/>
                  <w:divBdr>
                    <w:top w:val="none" w:sz="0" w:space="0" w:color="auto"/>
                    <w:left w:val="none" w:sz="0" w:space="0" w:color="auto"/>
                    <w:bottom w:val="none" w:sz="0" w:space="0" w:color="auto"/>
                    <w:right w:val="none" w:sz="0" w:space="0" w:color="auto"/>
                  </w:divBdr>
                  <w:divsChild>
                    <w:div w:id="1909881560">
                      <w:marLeft w:val="0"/>
                      <w:marRight w:val="0"/>
                      <w:marTop w:val="0"/>
                      <w:marBottom w:val="0"/>
                      <w:divBdr>
                        <w:top w:val="none" w:sz="0" w:space="0" w:color="auto"/>
                        <w:left w:val="none" w:sz="0" w:space="0" w:color="auto"/>
                        <w:bottom w:val="none" w:sz="0" w:space="0" w:color="auto"/>
                        <w:right w:val="none" w:sz="0" w:space="0" w:color="auto"/>
                      </w:divBdr>
                    </w:div>
                  </w:divsChild>
                </w:div>
                <w:div w:id="1560437072">
                  <w:marLeft w:val="0"/>
                  <w:marRight w:val="0"/>
                  <w:marTop w:val="0"/>
                  <w:marBottom w:val="0"/>
                  <w:divBdr>
                    <w:top w:val="none" w:sz="0" w:space="0" w:color="auto"/>
                    <w:left w:val="none" w:sz="0" w:space="0" w:color="auto"/>
                    <w:bottom w:val="none" w:sz="0" w:space="0" w:color="auto"/>
                    <w:right w:val="none" w:sz="0" w:space="0" w:color="auto"/>
                  </w:divBdr>
                  <w:divsChild>
                    <w:div w:id="986518735">
                      <w:marLeft w:val="0"/>
                      <w:marRight w:val="0"/>
                      <w:marTop w:val="0"/>
                      <w:marBottom w:val="0"/>
                      <w:divBdr>
                        <w:top w:val="none" w:sz="0" w:space="0" w:color="auto"/>
                        <w:left w:val="none" w:sz="0" w:space="0" w:color="auto"/>
                        <w:bottom w:val="none" w:sz="0" w:space="0" w:color="auto"/>
                        <w:right w:val="none" w:sz="0" w:space="0" w:color="auto"/>
                      </w:divBdr>
                    </w:div>
                  </w:divsChild>
                </w:div>
                <w:div w:id="1644500567">
                  <w:marLeft w:val="0"/>
                  <w:marRight w:val="0"/>
                  <w:marTop w:val="0"/>
                  <w:marBottom w:val="0"/>
                  <w:divBdr>
                    <w:top w:val="none" w:sz="0" w:space="0" w:color="auto"/>
                    <w:left w:val="none" w:sz="0" w:space="0" w:color="auto"/>
                    <w:bottom w:val="none" w:sz="0" w:space="0" w:color="auto"/>
                    <w:right w:val="none" w:sz="0" w:space="0" w:color="auto"/>
                  </w:divBdr>
                  <w:divsChild>
                    <w:div w:id="1352682314">
                      <w:marLeft w:val="0"/>
                      <w:marRight w:val="0"/>
                      <w:marTop w:val="0"/>
                      <w:marBottom w:val="0"/>
                      <w:divBdr>
                        <w:top w:val="none" w:sz="0" w:space="0" w:color="auto"/>
                        <w:left w:val="none" w:sz="0" w:space="0" w:color="auto"/>
                        <w:bottom w:val="none" w:sz="0" w:space="0" w:color="auto"/>
                        <w:right w:val="none" w:sz="0" w:space="0" w:color="auto"/>
                      </w:divBdr>
                    </w:div>
                  </w:divsChild>
                </w:div>
                <w:div w:id="1656756437">
                  <w:marLeft w:val="0"/>
                  <w:marRight w:val="0"/>
                  <w:marTop w:val="0"/>
                  <w:marBottom w:val="0"/>
                  <w:divBdr>
                    <w:top w:val="none" w:sz="0" w:space="0" w:color="auto"/>
                    <w:left w:val="none" w:sz="0" w:space="0" w:color="auto"/>
                    <w:bottom w:val="none" w:sz="0" w:space="0" w:color="auto"/>
                    <w:right w:val="none" w:sz="0" w:space="0" w:color="auto"/>
                  </w:divBdr>
                  <w:divsChild>
                    <w:div w:id="820775849">
                      <w:marLeft w:val="0"/>
                      <w:marRight w:val="0"/>
                      <w:marTop w:val="0"/>
                      <w:marBottom w:val="0"/>
                      <w:divBdr>
                        <w:top w:val="none" w:sz="0" w:space="0" w:color="auto"/>
                        <w:left w:val="none" w:sz="0" w:space="0" w:color="auto"/>
                        <w:bottom w:val="none" w:sz="0" w:space="0" w:color="auto"/>
                        <w:right w:val="none" w:sz="0" w:space="0" w:color="auto"/>
                      </w:divBdr>
                    </w:div>
                  </w:divsChild>
                </w:div>
                <w:div w:id="1659378982">
                  <w:marLeft w:val="0"/>
                  <w:marRight w:val="0"/>
                  <w:marTop w:val="0"/>
                  <w:marBottom w:val="0"/>
                  <w:divBdr>
                    <w:top w:val="none" w:sz="0" w:space="0" w:color="auto"/>
                    <w:left w:val="none" w:sz="0" w:space="0" w:color="auto"/>
                    <w:bottom w:val="none" w:sz="0" w:space="0" w:color="auto"/>
                    <w:right w:val="none" w:sz="0" w:space="0" w:color="auto"/>
                  </w:divBdr>
                  <w:divsChild>
                    <w:div w:id="2068600654">
                      <w:marLeft w:val="0"/>
                      <w:marRight w:val="0"/>
                      <w:marTop w:val="0"/>
                      <w:marBottom w:val="0"/>
                      <w:divBdr>
                        <w:top w:val="none" w:sz="0" w:space="0" w:color="auto"/>
                        <w:left w:val="none" w:sz="0" w:space="0" w:color="auto"/>
                        <w:bottom w:val="none" w:sz="0" w:space="0" w:color="auto"/>
                        <w:right w:val="none" w:sz="0" w:space="0" w:color="auto"/>
                      </w:divBdr>
                    </w:div>
                  </w:divsChild>
                </w:div>
                <w:div w:id="1661040698">
                  <w:marLeft w:val="0"/>
                  <w:marRight w:val="0"/>
                  <w:marTop w:val="0"/>
                  <w:marBottom w:val="0"/>
                  <w:divBdr>
                    <w:top w:val="none" w:sz="0" w:space="0" w:color="auto"/>
                    <w:left w:val="none" w:sz="0" w:space="0" w:color="auto"/>
                    <w:bottom w:val="none" w:sz="0" w:space="0" w:color="auto"/>
                    <w:right w:val="none" w:sz="0" w:space="0" w:color="auto"/>
                  </w:divBdr>
                  <w:divsChild>
                    <w:div w:id="1700356305">
                      <w:marLeft w:val="0"/>
                      <w:marRight w:val="0"/>
                      <w:marTop w:val="0"/>
                      <w:marBottom w:val="0"/>
                      <w:divBdr>
                        <w:top w:val="none" w:sz="0" w:space="0" w:color="auto"/>
                        <w:left w:val="none" w:sz="0" w:space="0" w:color="auto"/>
                        <w:bottom w:val="none" w:sz="0" w:space="0" w:color="auto"/>
                        <w:right w:val="none" w:sz="0" w:space="0" w:color="auto"/>
                      </w:divBdr>
                    </w:div>
                  </w:divsChild>
                </w:div>
                <w:div w:id="1675910893">
                  <w:marLeft w:val="0"/>
                  <w:marRight w:val="0"/>
                  <w:marTop w:val="0"/>
                  <w:marBottom w:val="0"/>
                  <w:divBdr>
                    <w:top w:val="none" w:sz="0" w:space="0" w:color="auto"/>
                    <w:left w:val="none" w:sz="0" w:space="0" w:color="auto"/>
                    <w:bottom w:val="none" w:sz="0" w:space="0" w:color="auto"/>
                    <w:right w:val="none" w:sz="0" w:space="0" w:color="auto"/>
                  </w:divBdr>
                  <w:divsChild>
                    <w:div w:id="539249638">
                      <w:marLeft w:val="0"/>
                      <w:marRight w:val="0"/>
                      <w:marTop w:val="0"/>
                      <w:marBottom w:val="0"/>
                      <w:divBdr>
                        <w:top w:val="none" w:sz="0" w:space="0" w:color="auto"/>
                        <w:left w:val="none" w:sz="0" w:space="0" w:color="auto"/>
                        <w:bottom w:val="none" w:sz="0" w:space="0" w:color="auto"/>
                        <w:right w:val="none" w:sz="0" w:space="0" w:color="auto"/>
                      </w:divBdr>
                    </w:div>
                  </w:divsChild>
                </w:div>
                <w:div w:id="1680086183">
                  <w:marLeft w:val="0"/>
                  <w:marRight w:val="0"/>
                  <w:marTop w:val="0"/>
                  <w:marBottom w:val="0"/>
                  <w:divBdr>
                    <w:top w:val="none" w:sz="0" w:space="0" w:color="auto"/>
                    <w:left w:val="none" w:sz="0" w:space="0" w:color="auto"/>
                    <w:bottom w:val="none" w:sz="0" w:space="0" w:color="auto"/>
                    <w:right w:val="none" w:sz="0" w:space="0" w:color="auto"/>
                  </w:divBdr>
                  <w:divsChild>
                    <w:div w:id="994382758">
                      <w:marLeft w:val="0"/>
                      <w:marRight w:val="0"/>
                      <w:marTop w:val="0"/>
                      <w:marBottom w:val="0"/>
                      <w:divBdr>
                        <w:top w:val="none" w:sz="0" w:space="0" w:color="auto"/>
                        <w:left w:val="none" w:sz="0" w:space="0" w:color="auto"/>
                        <w:bottom w:val="none" w:sz="0" w:space="0" w:color="auto"/>
                        <w:right w:val="none" w:sz="0" w:space="0" w:color="auto"/>
                      </w:divBdr>
                    </w:div>
                  </w:divsChild>
                </w:div>
                <w:div w:id="1761290487">
                  <w:marLeft w:val="0"/>
                  <w:marRight w:val="0"/>
                  <w:marTop w:val="0"/>
                  <w:marBottom w:val="0"/>
                  <w:divBdr>
                    <w:top w:val="none" w:sz="0" w:space="0" w:color="auto"/>
                    <w:left w:val="none" w:sz="0" w:space="0" w:color="auto"/>
                    <w:bottom w:val="none" w:sz="0" w:space="0" w:color="auto"/>
                    <w:right w:val="none" w:sz="0" w:space="0" w:color="auto"/>
                  </w:divBdr>
                  <w:divsChild>
                    <w:div w:id="211697468">
                      <w:marLeft w:val="0"/>
                      <w:marRight w:val="0"/>
                      <w:marTop w:val="0"/>
                      <w:marBottom w:val="0"/>
                      <w:divBdr>
                        <w:top w:val="none" w:sz="0" w:space="0" w:color="auto"/>
                        <w:left w:val="none" w:sz="0" w:space="0" w:color="auto"/>
                        <w:bottom w:val="none" w:sz="0" w:space="0" w:color="auto"/>
                        <w:right w:val="none" w:sz="0" w:space="0" w:color="auto"/>
                      </w:divBdr>
                    </w:div>
                  </w:divsChild>
                </w:div>
                <w:div w:id="1773933900">
                  <w:marLeft w:val="0"/>
                  <w:marRight w:val="0"/>
                  <w:marTop w:val="0"/>
                  <w:marBottom w:val="0"/>
                  <w:divBdr>
                    <w:top w:val="none" w:sz="0" w:space="0" w:color="auto"/>
                    <w:left w:val="none" w:sz="0" w:space="0" w:color="auto"/>
                    <w:bottom w:val="none" w:sz="0" w:space="0" w:color="auto"/>
                    <w:right w:val="none" w:sz="0" w:space="0" w:color="auto"/>
                  </w:divBdr>
                  <w:divsChild>
                    <w:div w:id="860779591">
                      <w:marLeft w:val="0"/>
                      <w:marRight w:val="0"/>
                      <w:marTop w:val="0"/>
                      <w:marBottom w:val="0"/>
                      <w:divBdr>
                        <w:top w:val="none" w:sz="0" w:space="0" w:color="auto"/>
                        <w:left w:val="none" w:sz="0" w:space="0" w:color="auto"/>
                        <w:bottom w:val="none" w:sz="0" w:space="0" w:color="auto"/>
                        <w:right w:val="none" w:sz="0" w:space="0" w:color="auto"/>
                      </w:divBdr>
                    </w:div>
                  </w:divsChild>
                </w:div>
                <w:div w:id="1791238110">
                  <w:marLeft w:val="0"/>
                  <w:marRight w:val="0"/>
                  <w:marTop w:val="0"/>
                  <w:marBottom w:val="0"/>
                  <w:divBdr>
                    <w:top w:val="none" w:sz="0" w:space="0" w:color="auto"/>
                    <w:left w:val="none" w:sz="0" w:space="0" w:color="auto"/>
                    <w:bottom w:val="none" w:sz="0" w:space="0" w:color="auto"/>
                    <w:right w:val="none" w:sz="0" w:space="0" w:color="auto"/>
                  </w:divBdr>
                  <w:divsChild>
                    <w:div w:id="619840181">
                      <w:marLeft w:val="0"/>
                      <w:marRight w:val="0"/>
                      <w:marTop w:val="0"/>
                      <w:marBottom w:val="0"/>
                      <w:divBdr>
                        <w:top w:val="none" w:sz="0" w:space="0" w:color="auto"/>
                        <w:left w:val="none" w:sz="0" w:space="0" w:color="auto"/>
                        <w:bottom w:val="none" w:sz="0" w:space="0" w:color="auto"/>
                        <w:right w:val="none" w:sz="0" w:space="0" w:color="auto"/>
                      </w:divBdr>
                    </w:div>
                  </w:divsChild>
                </w:div>
                <w:div w:id="1803451637">
                  <w:marLeft w:val="0"/>
                  <w:marRight w:val="0"/>
                  <w:marTop w:val="0"/>
                  <w:marBottom w:val="0"/>
                  <w:divBdr>
                    <w:top w:val="none" w:sz="0" w:space="0" w:color="auto"/>
                    <w:left w:val="none" w:sz="0" w:space="0" w:color="auto"/>
                    <w:bottom w:val="none" w:sz="0" w:space="0" w:color="auto"/>
                    <w:right w:val="none" w:sz="0" w:space="0" w:color="auto"/>
                  </w:divBdr>
                  <w:divsChild>
                    <w:div w:id="2039432763">
                      <w:marLeft w:val="0"/>
                      <w:marRight w:val="0"/>
                      <w:marTop w:val="0"/>
                      <w:marBottom w:val="0"/>
                      <w:divBdr>
                        <w:top w:val="none" w:sz="0" w:space="0" w:color="auto"/>
                        <w:left w:val="none" w:sz="0" w:space="0" w:color="auto"/>
                        <w:bottom w:val="none" w:sz="0" w:space="0" w:color="auto"/>
                        <w:right w:val="none" w:sz="0" w:space="0" w:color="auto"/>
                      </w:divBdr>
                    </w:div>
                  </w:divsChild>
                </w:div>
                <w:div w:id="1825973138">
                  <w:marLeft w:val="0"/>
                  <w:marRight w:val="0"/>
                  <w:marTop w:val="0"/>
                  <w:marBottom w:val="0"/>
                  <w:divBdr>
                    <w:top w:val="none" w:sz="0" w:space="0" w:color="auto"/>
                    <w:left w:val="none" w:sz="0" w:space="0" w:color="auto"/>
                    <w:bottom w:val="none" w:sz="0" w:space="0" w:color="auto"/>
                    <w:right w:val="none" w:sz="0" w:space="0" w:color="auto"/>
                  </w:divBdr>
                  <w:divsChild>
                    <w:div w:id="304511558">
                      <w:marLeft w:val="0"/>
                      <w:marRight w:val="0"/>
                      <w:marTop w:val="0"/>
                      <w:marBottom w:val="0"/>
                      <w:divBdr>
                        <w:top w:val="none" w:sz="0" w:space="0" w:color="auto"/>
                        <w:left w:val="none" w:sz="0" w:space="0" w:color="auto"/>
                        <w:bottom w:val="none" w:sz="0" w:space="0" w:color="auto"/>
                        <w:right w:val="none" w:sz="0" w:space="0" w:color="auto"/>
                      </w:divBdr>
                    </w:div>
                  </w:divsChild>
                </w:div>
                <w:div w:id="1891531488">
                  <w:marLeft w:val="0"/>
                  <w:marRight w:val="0"/>
                  <w:marTop w:val="0"/>
                  <w:marBottom w:val="0"/>
                  <w:divBdr>
                    <w:top w:val="none" w:sz="0" w:space="0" w:color="auto"/>
                    <w:left w:val="none" w:sz="0" w:space="0" w:color="auto"/>
                    <w:bottom w:val="none" w:sz="0" w:space="0" w:color="auto"/>
                    <w:right w:val="none" w:sz="0" w:space="0" w:color="auto"/>
                  </w:divBdr>
                  <w:divsChild>
                    <w:div w:id="1013534772">
                      <w:marLeft w:val="0"/>
                      <w:marRight w:val="0"/>
                      <w:marTop w:val="0"/>
                      <w:marBottom w:val="0"/>
                      <w:divBdr>
                        <w:top w:val="none" w:sz="0" w:space="0" w:color="auto"/>
                        <w:left w:val="none" w:sz="0" w:space="0" w:color="auto"/>
                        <w:bottom w:val="none" w:sz="0" w:space="0" w:color="auto"/>
                        <w:right w:val="none" w:sz="0" w:space="0" w:color="auto"/>
                      </w:divBdr>
                    </w:div>
                  </w:divsChild>
                </w:div>
                <w:div w:id="1923761169">
                  <w:marLeft w:val="0"/>
                  <w:marRight w:val="0"/>
                  <w:marTop w:val="0"/>
                  <w:marBottom w:val="0"/>
                  <w:divBdr>
                    <w:top w:val="none" w:sz="0" w:space="0" w:color="auto"/>
                    <w:left w:val="none" w:sz="0" w:space="0" w:color="auto"/>
                    <w:bottom w:val="none" w:sz="0" w:space="0" w:color="auto"/>
                    <w:right w:val="none" w:sz="0" w:space="0" w:color="auto"/>
                  </w:divBdr>
                  <w:divsChild>
                    <w:div w:id="923536888">
                      <w:marLeft w:val="0"/>
                      <w:marRight w:val="0"/>
                      <w:marTop w:val="0"/>
                      <w:marBottom w:val="0"/>
                      <w:divBdr>
                        <w:top w:val="none" w:sz="0" w:space="0" w:color="auto"/>
                        <w:left w:val="none" w:sz="0" w:space="0" w:color="auto"/>
                        <w:bottom w:val="none" w:sz="0" w:space="0" w:color="auto"/>
                        <w:right w:val="none" w:sz="0" w:space="0" w:color="auto"/>
                      </w:divBdr>
                    </w:div>
                  </w:divsChild>
                </w:div>
                <w:div w:id="1953171697">
                  <w:marLeft w:val="0"/>
                  <w:marRight w:val="0"/>
                  <w:marTop w:val="0"/>
                  <w:marBottom w:val="0"/>
                  <w:divBdr>
                    <w:top w:val="none" w:sz="0" w:space="0" w:color="auto"/>
                    <w:left w:val="none" w:sz="0" w:space="0" w:color="auto"/>
                    <w:bottom w:val="none" w:sz="0" w:space="0" w:color="auto"/>
                    <w:right w:val="none" w:sz="0" w:space="0" w:color="auto"/>
                  </w:divBdr>
                  <w:divsChild>
                    <w:div w:id="437721486">
                      <w:marLeft w:val="0"/>
                      <w:marRight w:val="0"/>
                      <w:marTop w:val="0"/>
                      <w:marBottom w:val="0"/>
                      <w:divBdr>
                        <w:top w:val="none" w:sz="0" w:space="0" w:color="auto"/>
                        <w:left w:val="none" w:sz="0" w:space="0" w:color="auto"/>
                        <w:bottom w:val="none" w:sz="0" w:space="0" w:color="auto"/>
                        <w:right w:val="none" w:sz="0" w:space="0" w:color="auto"/>
                      </w:divBdr>
                    </w:div>
                  </w:divsChild>
                </w:div>
                <w:div w:id="1963226795">
                  <w:marLeft w:val="0"/>
                  <w:marRight w:val="0"/>
                  <w:marTop w:val="0"/>
                  <w:marBottom w:val="0"/>
                  <w:divBdr>
                    <w:top w:val="none" w:sz="0" w:space="0" w:color="auto"/>
                    <w:left w:val="none" w:sz="0" w:space="0" w:color="auto"/>
                    <w:bottom w:val="none" w:sz="0" w:space="0" w:color="auto"/>
                    <w:right w:val="none" w:sz="0" w:space="0" w:color="auto"/>
                  </w:divBdr>
                  <w:divsChild>
                    <w:div w:id="1718165122">
                      <w:marLeft w:val="0"/>
                      <w:marRight w:val="0"/>
                      <w:marTop w:val="0"/>
                      <w:marBottom w:val="0"/>
                      <w:divBdr>
                        <w:top w:val="none" w:sz="0" w:space="0" w:color="auto"/>
                        <w:left w:val="none" w:sz="0" w:space="0" w:color="auto"/>
                        <w:bottom w:val="none" w:sz="0" w:space="0" w:color="auto"/>
                        <w:right w:val="none" w:sz="0" w:space="0" w:color="auto"/>
                      </w:divBdr>
                    </w:div>
                  </w:divsChild>
                </w:div>
                <w:div w:id="1980920940">
                  <w:marLeft w:val="0"/>
                  <w:marRight w:val="0"/>
                  <w:marTop w:val="0"/>
                  <w:marBottom w:val="0"/>
                  <w:divBdr>
                    <w:top w:val="none" w:sz="0" w:space="0" w:color="auto"/>
                    <w:left w:val="none" w:sz="0" w:space="0" w:color="auto"/>
                    <w:bottom w:val="none" w:sz="0" w:space="0" w:color="auto"/>
                    <w:right w:val="none" w:sz="0" w:space="0" w:color="auto"/>
                  </w:divBdr>
                  <w:divsChild>
                    <w:div w:id="1608582688">
                      <w:marLeft w:val="0"/>
                      <w:marRight w:val="0"/>
                      <w:marTop w:val="0"/>
                      <w:marBottom w:val="0"/>
                      <w:divBdr>
                        <w:top w:val="none" w:sz="0" w:space="0" w:color="auto"/>
                        <w:left w:val="none" w:sz="0" w:space="0" w:color="auto"/>
                        <w:bottom w:val="none" w:sz="0" w:space="0" w:color="auto"/>
                        <w:right w:val="none" w:sz="0" w:space="0" w:color="auto"/>
                      </w:divBdr>
                    </w:div>
                  </w:divsChild>
                </w:div>
                <w:div w:id="2012371066">
                  <w:marLeft w:val="0"/>
                  <w:marRight w:val="0"/>
                  <w:marTop w:val="0"/>
                  <w:marBottom w:val="0"/>
                  <w:divBdr>
                    <w:top w:val="none" w:sz="0" w:space="0" w:color="auto"/>
                    <w:left w:val="none" w:sz="0" w:space="0" w:color="auto"/>
                    <w:bottom w:val="none" w:sz="0" w:space="0" w:color="auto"/>
                    <w:right w:val="none" w:sz="0" w:space="0" w:color="auto"/>
                  </w:divBdr>
                  <w:divsChild>
                    <w:div w:id="1675765142">
                      <w:marLeft w:val="0"/>
                      <w:marRight w:val="0"/>
                      <w:marTop w:val="0"/>
                      <w:marBottom w:val="0"/>
                      <w:divBdr>
                        <w:top w:val="none" w:sz="0" w:space="0" w:color="auto"/>
                        <w:left w:val="none" w:sz="0" w:space="0" w:color="auto"/>
                        <w:bottom w:val="none" w:sz="0" w:space="0" w:color="auto"/>
                        <w:right w:val="none" w:sz="0" w:space="0" w:color="auto"/>
                      </w:divBdr>
                    </w:div>
                  </w:divsChild>
                </w:div>
                <w:div w:id="2013990318">
                  <w:marLeft w:val="0"/>
                  <w:marRight w:val="0"/>
                  <w:marTop w:val="0"/>
                  <w:marBottom w:val="0"/>
                  <w:divBdr>
                    <w:top w:val="none" w:sz="0" w:space="0" w:color="auto"/>
                    <w:left w:val="none" w:sz="0" w:space="0" w:color="auto"/>
                    <w:bottom w:val="none" w:sz="0" w:space="0" w:color="auto"/>
                    <w:right w:val="none" w:sz="0" w:space="0" w:color="auto"/>
                  </w:divBdr>
                  <w:divsChild>
                    <w:div w:id="968780567">
                      <w:marLeft w:val="0"/>
                      <w:marRight w:val="0"/>
                      <w:marTop w:val="0"/>
                      <w:marBottom w:val="0"/>
                      <w:divBdr>
                        <w:top w:val="none" w:sz="0" w:space="0" w:color="auto"/>
                        <w:left w:val="none" w:sz="0" w:space="0" w:color="auto"/>
                        <w:bottom w:val="none" w:sz="0" w:space="0" w:color="auto"/>
                        <w:right w:val="none" w:sz="0" w:space="0" w:color="auto"/>
                      </w:divBdr>
                    </w:div>
                  </w:divsChild>
                </w:div>
                <w:div w:id="2052998427">
                  <w:marLeft w:val="0"/>
                  <w:marRight w:val="0"/>
                  <w:marTop w:val="0"/>
                  <w:marBottom w:val="0"/>
                  <w:divBdr>
                    <w:top w:val="none" w:sz="0" w:space="0" w:color="auto"/>
                    <w:left w:val="none" w:sz="0" w:space="0" w:color="auto"/>
                    <w:bottom w:val="none" w:sz="0" w:space="0" w:color="auto"/>
                    <w:right w:val="none" w:sz="0" w:space="0" w:color="auto"/>
                  </w:divBdr>
                  <w:divsChild>
                    <w:div w:id="671879916">
                      <w:marLeft w:val="0"/>
                      <w:marRight w:val="0"/>
                      <w:marTop w:val="0"/>
                      <w:marBottom w:val="0"/>
                      <w:divBdr>
                        <w:top w:val="none" w:sz="0" w:space="0" w:color="auto"/>
                        <w:left w:val="none" w:sz="0" w:space="0" w:color="auto"/>
                        <w:bottom w:val="none" w:sz="0" w:space="0" w:color="auto"/>
                        <w:right w:val="none" w:sz="0" w:space="0" w:color="auto"/>
                      </w:divBdr>
                    </w:div>
                  </w:divsChild>
                </w:div>
                <w:div w:id="2124376069">
                  <w:marLeft w:val="0"/>
                  <w:marRight w:val="0"/>
                  <w:marTop w:val="0"/>
                  <w:marBottom w:val="0"/>
                  <w:divBdr>
                    <w:top w:val="none" w:sz="0" w:space="0" w:color="auto"/>
                    <w:left w:val="none" w:sz="0" w:space="0" w:color="auto"/>
                    <w:bottom w:val="none" w:sz="0" w:space="0" w:color="auto"/>
                    <w:right w:val="none" w:sz="0" w:space="0" w:color="auto"/>
                  </w:divBdr>
                  <w:divsChild>
                    <w:div w:id="74594121">
                      <w:marLeft w:val="0"/>
                      <w:marRight w:val="0"/>
                      <w:marTop w:val="0"/>
                      <w:marBottom w:val="0"/>
                      <w:divBdr>
                        <w:top w:val="none" w:sz="0" w:space="0" w:color="auto"/>
                        <w:left w:val="none" w:sz="0" w:space="0" w:color="auto"/>
                        <w:bottom w:val="none" w:sz="0" w:space="0" w:color="auto"/>
                        <w:right w:val="none" w:sz="0" w:space="0" w:color="auto"/>
                      </w:divBdr>
                    </w:div>
                    <w:div w:id="16502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549593">
          <w:marLeft w:val="0"/>
          <w:marRight w:val="0"/>
          <w:marTop w:val="0"/>
          <w:marBottom w:val="0"/>
          <w:divBdr>
            <w:top w:val="none" w:sz="0" w:space="0" w:color="auto"/>
            <w:left w:val="none" w:sz="0" w:space="0" w:color="auto"/>
            <w:bottom w:val="none" w:sz="0" w:space="0" w:color="auto"/>
            <w:right w:val="none" w:sz="0" w:space="0" w:color="auto"/>
          </w:divBdr>
        </w:div>
        <w:div w:id="2026787684">
          <w:marLeft w:val="0"/>
          <w:marRight w:val="0"/>
          <w:marTop w:val="0"/>
          <w:marBottom w:val="0"/>
          <w:divBdr>
            <w:top w:val="none" w:sz="0" w:space="0" w:color="auto"/>
            <w:left w:val="none" w:sz="0" w:space="0" w:color="auto"/>
            <w:bottom w:val="none" w:sz="0" w:space="0" w:color="auto"/>
            <w:right w:val="none" w:sz="0" w:space="0" w:color="auto"/>
          </w:divBdr>
        </w:div>
      </w:divsChild>
    </w:div>
    <w:div w:id="1440565405">
      <w:bodyDiv w:val="1"/>
      <w:marLeft w:val="0"/>
      <w:marRight w:val="0"/>
      <w:marTop w:val="0"/>
      <w:marBottom w:val="0"/>
      <w:divBdr>
        <w:top w:val="none" w:sz="0" w:space="0" w:color="auto"/>
        <w:left w:val="none" w:sz="0" w:space="0" w:color="auto"/>
        <w:bottom w:val="none" w:sz="0" w:space="0" w:color="auto"/>
        <w:right w:val="none" w:sz="0" w:space="0" w:color="auto"/>
      </w:divBdr>
    </w:div>
    <w:div w:id="1466704783">
      <w:bodyDiv w:val="1"/>
      <w:marLeft w:val="0"/>
      <w:marRight w:val="0"/>
      <w:marTop w:val="0"/>
      <w:marBottom w:val="0"/>
      <w:divBdr>
        <w:top w:val="none" w:sz="0" w:space="0" w:color="auto"/>
        <w:left w:val="none" w:sz="0" w:space="0" w:color="auto"/>
        <w:bottom w:val="none" w:sz="0" w:space="0" w:color="auto"/>
        <w:right w:val="none" w:sz="0" w:space="0" w:color="auto"/>
      </w:divBdr>
    </w:div>
    <w:div w:id="1480615158">
      <w:bodyDiv w:val="1"/>
      <w:marLeft w:val="0"/>
      <w:marRight w:val="0"/>
      <w:marTop w:val="0"/>
      <w:marBottom w:val="0"/>
      <w:divBdr>
        <w:top w:val="none" w:sz="0" w:space="0" w:color="auto"/>
        <w:left w:val="none" w:sz="0" w:space="0" w:color="auto"/>
        <w:bottom w:val="none" w:sz="0" w:space="0" w:color="auto"/>
        <w:right w:val="none" w:sz="0" w:space="0" w:color="auto"/>
      </w:divBdr>
      <w:divsChild>
        <w:div w:id="11929281">
          <w:marLeft w:val="0"/>
          <w:marRight w:val="0"/>
          <w:marTop w:val="0"/>
          <w:marBottom w:val="0"/>
          <w:divBdr>
            <w:top w:val="none" w:sz="0" w:space="0" w:color="auto"/>
            <w:left w:val="none" w:sz="0" w:space="0" w:color="auto"/>
            <w:bottom w:val="none" w:sz="0" w:space="0" w:color="auto"/>
            <w:right w:val="none" w:sz="0" w:space="0" w:color="auto"/>
          </w:divBdr>
        </w:div>
        <w:div w:id="26953899">
          <w:marLeft w:val="0"/>
          <w:marRight w:val="0"/>
          <w:marTop w:val="0"/>
          <w:marBottom w:val="0"/>
          <w:divBdr>
            <w:top w:val="none" w:sz="0" w:space="0" w:color="auto"/>
            <w:left w:val="none" w:sz="0" w:space="0" w:color="auto"/>
            <w:bottom w:val="none" w:sz="0" w:space="0" w:color="auto"/>
            <w:right w:val="none" w:sz="0" w:space="0" w:color="auto"/>
          </w:divBdr>
        </w:div>
        <w:div w:id="250895016">
          <w:marLeft w:val="0"/>
          <w:marRight w:val="0"/>
          <w:marTop w:val="0"/>
          <w:marBottom w:val="0"/>
          <w:divBdr>
            <w:top w:val="none" w:sz="0" w:space="0" w:color="auto"/>
            <w:left w:val="none" w:sz="0" w:space="0" w:color="auto"/>
            <w:bottom w:val="none" w:sz="0" w:space="0" w:color="auto"/>
            <w:right w:val="none" w:sz="0" w:space="0" w:color="auto"/>
          </w:divBdr>
        </w:div>
        <w:div w:id="405617275">
          <w:marLeft w:val="0"/>
          <w:marRight w:val="0"/>
          <w:marTop w:val="0"/>
          <w:marBottom w:val="0"/>
          <w:divBdr>
            <w:top w:val="none" w:sz="0" w:space="0" w:color="auto"/>
            <w:left w:val="none" w:sz="0" w:space="0" w:color="auto"/>
            <w:bottom w:val="none" w:sz="0" w:space="0" w:color="auto"/>
            <w:right w:val="none" w:sz="0" w:space="0" w:color="auto"/>
          </w:divBdr>
        </w:div>
        <w:div w:id="592013357">
          <w:marLeft w:val="0"/>
          <w:marRight w:val="0"/>
          <w:marTop w:val="0"/>
          <w:marBottom w:val="0"/>
          <w:divBdr>
            <w:top w:val="none" w:sz="0" w:space="0" w:color="auto"/>
            <w:left w:val="none" w:sz="0" w:space="0" w:color="auto"/>
            <w:bottom w:val="none" w:sz="0" w:space="0" w:color="auto"/>
            <w:right w:val="none" w:sz="0" w:space="0" w:color="auto"/>
          </w:divBdr>
        </w:div>
        <w:div w:id="639963158">
          <w:marLeft w:val="0"/>
          <w:marRight w:val="0"/>
          <w:marTop w:val="0"/>
          <w:marBottom w:val="0"/>
          <w:divBdr>
            <w:top w:val="none" w:sz="0" w:space="0" w:color="auto"/>
            <w:left w:val="none" w:sz="0" w:space="0" w:color="auto"/>
            <w:bottom w:val="none" w:sz="0" w:space="0" w:color="auto"/>
            <w:right w:val="none" w:sz="0" w:space="0" w:color="auto"/>
          </w:divBdr>
        </w:div>
        <w:div w:id="794175204">
          <w:marLeft w:val="0"/>
          <w:marRight w:val="0"/>
          <w:marTop w:val="0"/>
          <w:marBottom w:val="0"/>
          <w:divBdr>
            <w:top w:val="none" w:sz="0" w:space="0" w:color="auto"/>
            <w:left w:val="none" w:sz="0" w:space="0" w:color="auto"/>
            <w:bottom w:val="none" w:sz="0" w:space="0" w:color="auto"/>
            <w:right w:val="none" w:sz="0" w:space="0" w:color="auto"/>
          </w:divBdr>
        </w:div>
        <w:div w:id="907692302">
          <w:marLeft w:val="0"/>
          <w:marRight w:val="0"/>
          <w:marTop w:val="0"/>
          <w:marBottom w:val="0"/>
          <w:divBdr>
            <w:top w:val="none" w:sz="0" w:space="0" w:color="auto"/>
            <w:left w:val="none" w:sz="0" w:space="0" w:color="auto"/>
            <w:bottom w:val="none" w:sz="0" w:space="0" w:color="auto"/>
            <w:right w:val="none" w:sz="0" w:space="0" w:color="auto"/>
          </w:divBdr>
        </w:div>
        <w:div w:id="1020549396">
          <w:marLeft w:val="0"/>
          <w:marRight w:val="0"/>
          <w:marTop w:val="0"/>
          <w:marBottom w:val="0"/>
          <w:divBdr>
            <w:top w:val="none" w:sz="0" w:space="0" w:color="auto"/>
            <w:left w:val="none" w:sz="0" w:space="0" w:color="auto"/>
            <w:bottom w:val="none" w:sz="0" w:space="0" w:color="auto"/>
            <w:right w:val="none" w:sz="0" w:space="0" w:color="auto"/>
          </w:divBdr>
        </w:div>
        <w:div w:id="1296910162">
          <w:marLeft w:val="0"/>
          <w:marRight w:val="0"/>
          <w:marTop w:val="0"/>
          <w:marBottom w:val="0"/>
          <w:divBdr>
            <w:top w:val="none" w:sz="0" w:space="0" w:color="auto"/>
            <w:left w:val="none" w:sz="0" w:space="0" w:color="auto"/>
            <w:bottom w:val="none" w:sz="0" w:space="0" w:color="auto"/>
            <w:right w:val="none" w:sz="0" w:space="0" w:color="auto"/>
          </w:divBdr>
        </w:div>
        <w:div w:id="1662850768">
          <w:marLeft w:val="0"/>
          <w:marRight w:val="0"/>
          <w:marTop w:val="0"/>
          <w:marBottom w:val="0"/>
          <w:divBdr>
            <w:top w:val="none" w:sz="0" w:space="0" w:color="auto"/>
            <w:left w:val="none" w:sz="0" w:space="0" w:color="auto"/>
            <w:bottom w:val="none" w:sz="0" w:space="0" w:color="auto"/>
            <w:right w:val="none" w:sz="0" w:space="0" w:color="auto"/>
          </w:divBdr>
        </w:div>
        <w:div w:id="1805779394">
          <w:marLeft w:val="0"/>
          <w:marRight w:val="0"/>
          <w:marTop w:val="0"/>
          <w:marBottom w:val="0"/>
          <w:divBdr>
            <w:top w:val="none" w:sz="0" w:space="0" w:color="auto"/>
            <w:left w:val="none" w:sz="0" w:space="0" w:color="auto"/>
            <w:bottom w:val="none" w:sz="0" w:space="0" w:color="auto"/>
            <w:right w:val="none" w:sz="0" w:space="0" w:color="auto"/>
          </w:divBdr>
        </w:div>
        <w:div w:id="2033915368">
          <w:marLeft w:val="0"/>
          <w:marRight w:val="0"/>
          <w:marTop w:val="0"/>
          <w:marBottom w:val="0"/>
          <w:divBdr>
            <w:top w:val="none" w:sz="0" w:space="0" w:color="auto"/>
            <w:left w:val="none" w:sz="0" w:space="0" w:color="auto"/>
            <w:bottom w:val="none" w:sz="0" w:space="0" w:color="auto"/>
            <w:right w:val="none" w:sz="0" w:space="0" w:color="auto"/>
          </w:divBdr>
        </w:div>
        <w:div w:id="2144079678">
          <w:marLeft w:val="0"/>
          <w:marRight w:val="0"/>
          <w:marTop w:val="0"/>
          <w:marBottom w:val="0"/>
          <w:divBdr>
            <w:top w:val="none" w:sz="0" w:space="0" w:color="auto"/>
            <w:left w:val="none" w:sz="0" w:space="0" w:color="auto"/>
            <w:bottom w:val="none" w:sz="0" w:space="0" w:color="auto"/>
            <w:right w:val="none" w:sz="0" w:space="0" w:color="auto"/>
          </w:divBdr>
        </w:div>
      </w:divsChild>
    </w:div>
    <w:div w:id="1505969657">
      <w:bodyDiv w:val="1"/>
      <w:marLeft w:val="0"/>
      <w:marRight w:val="0"/>
      <w:marTop w:val="0"/>
      <w:marBottom w:val="0"/>
      <w:divBdr>
        <w:top w:val="none" w:sz="0" w:space="0" w:color="auto"/>
        <w:left w:val="none" w:sz="0" w:space="0" w:color="auto"/>
        <w:bottom w:val="none" w:sz="0" w:space="0" w:color="auto"/>
        <w:right w:val="none" w:sz="0" w:space="0" w:color="auto"/>
      </w:divBdr>
    </w:div>
    <w:div w:id="1511287497">
      <w:bodyDiv w:val="1"/>
      <w:marLeft w:val="0"/>
      <w:marRight w:val="0"/>
      <w:marTop w:val="0"/>
      <w:marBottom w:val="0"/>
      <w:divBdr>
        <w:top w:val="none" w:sz="0" w:space="0" w:color="auto"/>
        <w:left w:val="none" w:sz="0" w:space="0" w:color="auto"/>
        <w:bottom w:val="none" w:sz="0" w:space="0" w:color="auto"/>
        <w:right w:val="none" w:sz="0" w:space="0" w:color="auto"/>
      </w:divBdr>
      <w:divsChild>
        <w:div w:id="744685767">
          <w:marLeft w:val="0"/>
          <w:marRight w:val="0"/>
          <w:marTop w:val="0"/>
          <w:marBottom w:val="0"/>
          <w:divBdr>
            <w:top w:val="none" w:sz="0" w:space="0" w:color="auto"/>
            <w:left w:val="none" w:sz="0" w:space="0" w:color="auto"/>
            <w:bottom w:val="none" w:sz="0" w:space="0" w:color="auto"/>
            <w:right w:val="none" w:sz="0" w:space="0" w:color="auto"/>
          </w:divBdr>
        </w:div>
        <w:div w:id="1009529158">
          <w:marLeft w:val="0"/>
          <w:marRight w:val="0"/>
          <w:marTop w:val="0"/>
          <w:marBottom w:val="0"/>
          <w:divBdr>
            <w:top w:val="none" w:sz="0" w:space="0" w:color="auto"/>
            <w:left w:val="none" w:sz="0" w:space="0" w:color="auto"/>
            <w:bottom w:val="none" w:sz="0" w:space="0" w:color="auto"/>
            <w:right w:val="none" w:sz="0" w:space="0" w:color="auto"/>
          </w:divBdr>
        </w:div>
        <w:div w:id="1358237084">
          <w:marLeft w:val="0"/>
          <w:marRight w:val="0"/>
          <w:marTop w:val="0"/>
          <w:marBottom w:val="0"/>
          <w:divBdr>
            <w:top w:val="none" w:sz="0" w:space="0" w:color="auto"/>
            <w:left w:val="none" w:sz="0" w:space="0" w:color="auto"/>
            <w:bottom w:val="none" w:sz="0" w:space="0" w:color="auto"/>
            <w:right w:val="none" w:sz="0" w:space="0" w:color="auto"/>
          </w:divBdr>
        </w:div>
        <w:div w:id="1530873158">
          <w:marLeft w:val="0"/>
          <w:marRight w:val="0"/>
          <w:marTop w:val="0"/>
          <w:marBottom w:val="0"/>
          <w:divBdr>
            <w:top w:val="none" w:sz="0" w:space="0" w:color="auto"/>
            <w:left w:val="none" w:sz="0" w:space="0" w:color="auto"/>
            <w:bottom w:val="none" w:sz="0" w:space="0" w:color="auto"/>
            <w:right w:val="none" w:sz="0" w:space="0" w:color="auto"/>
          </w:divBdr>
        </w:div>
      </w:divsChild>
    </w:div>
    <w:div w:id="1530028383">
      <w:bodyDiv w:val="1"/>
      <w:marLeft w:val="0"/>
      <w:marRight w:val="0"/>
      <w:marTop w:val="0"/>
      <w:marBottom w:val="0"/>
      <w:divBdr>
        <w:top w:val="none" w:sz="0" w:space="0" w:color="auto"/>
        <w:left w:val="none" w:sz="0" w:space="0" w:color="auto"/>
        <w:bottom w:val="none" w:sz="0" w:space="0" w:color="auto"/>
        <w:right w:val="none" w:sz="0" w:space="0" w:color="auto"/>
      </w:divBdr>
    </w:div>
    <w:div w:id="1537085306">
      <w:bodyDiv w:val="1"/>
      <w:marLeft w:val="0"/>
      <w:marRight w:val="0"/>
      <w:marTop w:val="0"/>
      <w:marBottom w:val="0"/>
      <w:divBdr>
        <w:top w:val="none" w:sz="0" w:space="0" w:color="auto"/>
        <w:left w:val="none" w:sz="0" w:space="0" w:color="auto"/>
        <w:bottom w:val="none" w:sz="0" w:space="0" w:color="auto"/>
        <w:right w:val="none" w:sz="0" w:space="0" w:color="auto"/>
      </w:divBdr>
    </w:div>
    <w:div w:id="1634099037">
      <w:bodyDiv w:val="1"/>
      <w:marLeft w:val="0"/>
      <w:marRight w:val="0"/>
      <w:marTop w:val="0"/>
      <w:marBottom w:val="0"/>
      <w:divBdr>
        <w:top w:val="none" w:sz="0" w:space="0" w:color="auto"/>
        <w:left w:val="none" w:sz="0" w:space="0" w:color="auto"/>
        <w:bottom w:val="none" w:sz="0" w:space="0" w:color="auto"/>
        <w:right w:val="none" w:sz="0" w:space="0" w:color="auto"/>
      </w:divBdr>
    </w:div>
    <w:div w:id="1719355192">
      <w:bodyDiv w:val="1"/>
      <w:marLeft w:val="0"/>
      <w:marRight w:val="0"/>
      <w:marTop w:val="0"/>
      <w:marBottom w:val="0"/>
      <w:divBdr>
        <w:top w:val="none" w:sz="0" w:space="0" w:color="auto"/>
        <w:left w:val="none" w:sz="0" w:space="0" w:color="auto"/>
        <w:bottom w:val="none" w:sz="0" w:space="0" w:color="auto"/>
        <w:right w:val="none" w:sz="0" w:space="0" w:color="auto"/>
      </w:divBdr>
    </w:div>
    <w:div w:id="1805730957">
      <w:bodyDiv w:val="1"/>
      <w:marLeft w:val="0"/>
      <w:marRight w:val="0"/>
      <w:marTop w:val="0"/>
      <w:marBottom w:val="0"/>
      <w:divBdr>
        <w:top w:val="none" w:sz="0" w:space="0" w:color="auto"/>
        <w:left w:val="none" w:sz="0" w:space="0" w:color="auto"/>
        <w:bottom w:val="none" w:sz="0" w:space="0" w:color="auto"/>
        <w:right w:val="none" w:sz="0" w:space="0" w:color="auto"/>
      </w:divBdr>
      <w:divsChild>
        <w:div w:id="103423467">
          <w:marLeft w:val="0"/>
          <w:marRight w:val="0"/>
          <w:marTop w:val="0"/>
          <w:marBottom w:val="0"/>
          <w:divBdr>
            <w:top w:val="none" w:sz="0" w:space="0" w:color="auto"/>
            <w:left w:val="none" w:sz="0" w:space="0" w:color="auto"/>
            <w:bottom w:val="none" w:sz="0" w:space="0" w:color="auto"/>
            <w:right w:val="none" w:sz="0" w:space="0" w:color="auto"/>
          </w:divBdr>
        </w:div>
        <w:div w:id="205604538">
          <w:marLeft w:val="0"/>
          <w:marRight w:val="0"/>
          <w:marTop w:val="0"/>
          <w:marBottom w:val="0"/>
          <w:divBdr>
            <w:top w:val="none" w:sz="0" w:space="0" w:color="auto"/>
            <w:left w:val="none" w:sz="0" w:space="0" w:color="auto"/>
            <w:bottom w:val="none" w:sz="0" w:space="0" w:color="auto"/>
            <w:right w:val="none" w:sz="0" w:space="0" w:color="auto"/>
          </w:divBdr>
        </w:div>
        <w:div w:id="275722966">
          <w:marLeft w:val="0"/>
          <w:marRight w:val="0"/>
          <w:marTop w:val="0"/>
          <w:marBottom w:val="0"/>
          <w:divBdr>
            <w:top w:val="none" w:sz="0" w:space="0" w:color="auto"/>
            <w:left w:val="none" w:sz="0" w:space="0" w:color="auto"/>
            <w:bottom w:val="none" w:sz="0" w:space="0" w:color="auto"/>
            <w:right w:val="none" w:sz="0" w:space="0" w:color="auto"/>
          </w:divBdr>
        </w:div>
        <w:div w:id="818116244">
          <w:marLeft w:val="0"/>
          <w:marRight w:val="0"/>
          <w:marTop w:val="0"/>
          <w:marBottom w:val="0"/>
          <w:divBdr>
            <w:top w:val="none" w:sz="0" w:space="0" w:color="auto"/>
            <w:left w:val="none" w:sz="0" w:space="0" w:color="auto"/>
            <w:bottom w:val="none" w:sz="0" w:space="0" w:color="auto"/>
            <w:right w:val="none" w:sz="0" w:space="0" w:color="auto"/>
          </w:divBdr>
        </w:div>
        <w:div w:id="894394468">
          <w:marLeft w:val="0"/>
          <w:marRight w:val="0"/>
          <w:marTop w:val="0"/>
          <w:marBottom w:val="0"/>
          <w:divBdr>
            <w:top w:val="none" w:sz="0" w:space="0" w:color="auto"/>
            <w:left w:val="none" w:sz="0" w:space="0" w:color="auto"/>
            <w:bottom w:val="none" w:sz="0" w:space="0" w:color="auto"/>
            <w:right w:val="none" w:sz="0" w:space="0" w:color="auto"/>
          </w:divBdr>
        </w:div>
        <w:div w:id="1108962570">
          <w:marLeft w:val="0"/>
          <w:marRight w:val="0"/>
          <w:marTop w:val="0"/>
          <w:marBottom w:val="0"/>
          <w:divBdr>
            <w:top w:val="none" w:sz="0" w:space="0" w:color="auto"/>
            <w:left w:val="none" w:sz="0" w:space="0" w:color="auto"/>
            <w:bottom w:val="none" w:sz="0" w:space="0" w:color="auto"/>
            <w:right w:val="none" w:sz="0" w:space="0" w:color="auto"/>
          </w:divBdr>
        </w:div>
        <w:div w:id="1160996851">
          <w:marLeft w:val="0"/>
          <w:marRight w:val="0"/>
          <w:marTop w:val="0"/>
          <w:marBottom w:val="0"/>
          <w:divBdr>
            <w:top w:val="none" w:sz="0" w:space="0" w:color="auto"/>
            <w:left w:val="none" w:sz="0" w:space="0" w:color="auto"/>
            <w:bottom w:val="none" w:sz="0" w:space="0" w:color="auto"/>
            <w:right w:val="none" w:sz="0" w:space="0" w:color="auto"/>
          </w:divBdr>
        </w:div>
        <w:div w:id="1161116854">
          <w:marLeft w:val="0"/>
          <w:marRight w:val="0"/>
          <w:marTop w:val="0"/>
          <w:marBottom w:val="0"/>
          <w:divBdr>
            <w:top w:val="none" w:sz="0" w:space="0" w:color="auto"/>
            <w:left w:val="none" w:sz="0" w:space="0" w:color="auto"/>
            <w:bottom w:val="none" w:sz="0" w:space="0" w:color="auto"/>
            <w:right w:val="none" w:sz="0" w:space="0" w:color="auto"/>
          </w:divBdr>
        </w:div>
        <w:div w:id="1473450675">
          <w:marLeft w:val="0"/>
          <w:marRight w:val="0"/>
          <w:marTop w:val="0"/>
          <w:marBottom w:val="0"/>
          <w:divBdr>
            <w:top w:val="none" w:sz="0" w:space="0" w:color="auto"/>
            <w:left w:val="none" w:sz="0" w:space="0" w:color="auto"/>
            <w:bottom w:val="none" w:sz="0" w:space="0" w:color="auto"/>
            <w:right w:val="none" w:sz="0" w:space="0" w:color="auto"/>
          </w:divBdr>
        </w:div>
        <w:div w:id="1678922037">
          <w:marLeft w:val="0"/>
          <w:marRight w:val="0"/>
          <w:marTop w:val="0"/>
          <w:marBottom w:val="0"/>
          <w:divBdr>
            <w:top w:val="none" w:sz="0" w:space="0" w:color="auto"/>
            <w:left w:val="none" w:sz="0" w:space="0" w:color="auto"/>
            <w:bottom w:val="none" w:sz="0" w:space="0" w:color="auto"/>
            <w:right w:val="none" w:sz="0" w:space="0" w:color="auto"/>
          </w:divBdr>
        </w:div>
        <w:div w:id="2102338798">
          <w:marLeft w:val="0"/>
          <w:marRight w:val="0"/>
          <w:marTop w:val="0"/>
          <w:marBottom w:val="0"/>
          <w:divBdr>
            <w:top w:val="none" w:sz="0" w:space="0" w:color="auto"/>
            <w:left w:val="none" w:sz="0" w:space="0" w:color="auto"/>
            <w:bottom w:val="none" w:sz="0" w:space="0" w:color="auto"/>
            <w:right w:val="none" w:sz="0" w:space="0" w:color="auto"/>
          </w:divBdr>
        </w:div>
      </w:divsChild>
    </w:div>
    <w:div w:id="1806586206">
      <w:bodyDiv w:val="1"/>
      <w:marLeft w:val="0"/>
      <w:marRight w:val="0"/>
      <w:marTop w:val="0"/>
      <w:marBottom w:val="0"/>
      <w:divBdr>
        <w:top w:val="none" w:sz="0" w:space="0" w:color="auto"/>
        <w:left w:val="none" w:sz="0" w:space="0" w:color="auto"/>
        <w:bottom w:val="none" w:sz="0" w:space="0" w:color="auto"/>
        <w:right w:val="none" w:sz="0" w:space="0" w:color="auto"/>
      </w:divBdr>
    </w:div>
    <w:div w:id="1807697104">
      <w:bodyDiv w:val="1"/>
      <w:marLeft w:val="0"/>
      <w:marRight w:val="0"/>
      <w:marTop w:val="0"/>
      <w:marBottom w:val="0"/>
      <w:divBdr>
        <w:top w:val="none" w:sz="0" w:space="0" w:color="auto"/>
        <w:left w:val="none" w:sz="0" w:space="0" w:color="auto"/>
        <w:bottom w:val="none" w:sz="0" w:space="0" w:color="auto"/>
        <w:right w:val="none" w:sz="0" w:space="0" w:color="auto"/>
      </w:divBdr>
      <w:divsChild>
        <w:div w:id="1462462237">
          <w:marLeft w:val="0"/>
          <w:marRight w:val="0"/>
          <w:marTop w:val="0"/>
          <w:marBottom w:val="0"/>
          <w:divBdr>
            <w:top w:val="none" w:sz="0" w:space="0" w:color="auto"/>
            <w:left w:val="none" w:sz="0" w:space="0" w:color="auto"/>
            <w:bottom w:val="none" w:sz="0" w:space="0" w:color="auto"/>
            <w:right w:val="none" w:sz="0" w:space="0" w:color="auto"/>
          </w:divBdr>
        </w:div>
        <w:div w:id="1706249620">
          <w:marLeft w:val="0"/>
          <w:marRight w:val="0"/>
          <w:marTop w:val="0"/>
          <w:marBottom w:val="0"/>
          <w:divBdr>
            <w:top w:val="none" w:sz="0" w:space="0" w:color="auto"/>
            <w:left w:val="none" w:sz="0" w:space="0" w:color="auto"/>
            <w:bottom w:val="none" w:sz="0" w:space="0" w:color="auto"/>
            <w:right w:val="none" w:sz="0" w:space="0" w:color="auto"/>
          </w:divBdr>
        </w:div>
      </w:divsChild>
    </w:div>
    <w:div w:id="1815832897">
      <w:bodyDiv w:val="1"/>
      <w:marLeft w:val="0"/>
      <w:marRight w:val="0"/>
      <w:marTop w:val="0"/>
      <w:marBottom w:val="0"/>
      <w:divBdr>
        <w:top w:val="none" w:sz="0" w:space="0" w:color="auto"/>
        <w:left w:val="none" w:sz="0" w:space="0" w:color="auto"/>
        <w:bottom w:val="none" w:sz="0" w:space="0" w:color="auto"/>
        <w:right w:val="none" w:sz="0" w:space="0" w:color="auto"/>
      </w:divBdr>
    </w:div>
    <w:div w:id="1854342444">
      <w:bodyDiv w:val="1"/>
      <w:marLeft w:val="0"/>
      <w:marRight w:val="0"/>
      <w:marTop w:val="0"/>
      <w:marBottom w:val="0"/>
      <w:divBdr>
        <w:top w:val="none" w:sz="0" w:space="0" w:color="auto"/>
        <w:left w:val="none" w:sz="0" w:space="0" w:color="auto"/>
        <w:bottom w:val="none" w:sz="0" w:space="0" w:color="auto"/>
        <w:right w:val="none" w:sz="0" w:space="0" w:color="auto"/>
      </w:divBdr>
    </w:div>
    <w:div w:id="1874345144">
      <w:bodyDiv w:val="1"/>
      <w:marLeft w:val="0"/>
      <w:marRight w:val="0"/>
      <w:marTop w:val="0"/>
      <w:marBottom w:val="0"/>
      <w:divBdr>
        <w:top w:val="none" w:sz="0" w:space="0" w:color="auto"/>
        <w:left w:val="none" w:sz="0" w:space="0" w:color="auto"/>
        <w:bottom w:val="none" w:sz="0" w:space="0" w:color="auto"/>
        <w:right w:val="none" w:sz="0" w:space="0" w:color="auto"/>
      </w:divBdr>
    </w:div>
    <w:div w:id="1882205827">
      <w:bodyDiv w:val="1"/>
      <w:marLeft w:val="0"/>
      <w:marRight w:val="0"/>
      <w:marTop w:val="0"/>
      <w:marBottom w:val="0"/>
      <w:divBdr>
        <w:top w:val="none" w:sz="0" w:space="0" w:color="auto"/>
        <w:left w:val="none" w:sz="0" w:space="0" w:color="auto"/>
        <w:bottom w:val="none" w:sz="0" w:space="0" w:color="auto"/>
        <w:right w:val="none" w:sz="0" w:space="0" w:color="auto"/>
      </w:divBdr>
      <w:divsChild>
        <w:div w:id="944772756">
          <w:marLeft w:val="0"/>
          <w:marRight w:val="0"/>
          <w:marTop w:val="0"/>
          <w:marBottom w:val="0"/>
          <w:divBdr>
            <w:top w:val="none" w:sz="0" w:space="0" w:color="auto"/>
            <w:left w:val="none" w:sz="0" w:space="0" w:color="auto"/>
            <w:bottom w:val="none" w:sz="0" w:space="0" w:color="auto"/>
            <w:right w:val="none" w:sz="0" w:space="0" w:color="auto"/>
          </w:divBdr>
        </w:div>
        <w:div w:id="1178429247">
          <w:marLeft w:val="0"/>
          <w:marRight w:val="0"/>
          <w:marTop w:val="0"/>
          <w:marBottom w:val="0"/>
          <w:divBdr>
            <w:top w:val="none" w:sz="0" w:space="0" w:color="auto"/>
            <w:left w:val="none" w:sz="0" w:space="0" w:color="auto"/>
            <w:bottom w:val="none" w:sz="0" w:space="0" w:color="auto"/>
            <w:right w:val="none" w:sz="0" w:space="0" w:color="auto"/>
          </w:divBdr>
        </w:div>
      </w:divsChild>
    </w:div>
    <w:div w:id="1892960225">
      <w:bodyDiv w:val="1"/>
      <w:marLeft w:val="0"/>
      <w:marRight w:val="0"/>
      <w:marTop w:val="0"/>
      <w:marBottom w:val="0"/>
      <w:divBdr>
        <w:top w:val="none" w:sz="0" w:space="0" w:color="auto"/>
        <w:left w:val="none" w:sz="0" w:space="0" w:color="auto"/>
        <w:bottom w:val="none" w:sz="0" w:space="0" w:color="auto"/>
        <w:right w:val="none" w:sz="0" w:space="0" w:color="auto"/>
      </w:divBdr>
      <w:divsChild>
        <w:div w:id="720440974">
          <w:marLeft w:val="0"/>
          <w:marRight w:val="0"/>
          <w:marTop w:val="0"/>
          <w:marBottom w:val="0"/>
          <w:divBdr>
            <w:top w:val="none" w:sz="0" w:space="0" w:color="auto"/>
            <w:left w:val="none" w:sz="0" w:space="0" w:color="auto"/>
            <w:bottom w:val="none" w:sz="0" w:space="0" w:color="auto"/>
            <w:right w:val="none" w:sz="0" w:space="0" w:color="auto"/>
          </w:divBdr>
        </w:div>
        <w:div w:id="1135105560">
          <w:marLeft w:val="0"/>
          <w:marRight w:val="0"/>
          <w:marTop w:val="0"/>
          <w:marBottom w:val="0"/>
          <w:divBdr>
            <w:top w:val="none" w:sz="0" w:space="0" w:color="auto"/>
            <w:left w:val="none" w:sz="0" w:space="0" w:color="auto"/>
            <w:bottom w:val="none" w:sz="0" w:space="0" w:color="auto"/>
            <w:right w:val="none" w:sz="0" w:space="0" w:color="auto"/>
          </w:divBdr>
        </w:div>
        <w:div w:id="1930502781">
          <w:marLeft w:val="0"/>
          <w:marRight w:val="0"/>
          <w:marTop w:val="0"/>
          <w:marBottom w:val="0"/>
          <w:divBdr>
            <w:top w:val="none" w:sz="0" w:space="0" w:color="auto"/>
            <w:left w:val="none" w:sz="0" w:space="0" w:color="auto"/>
            <w:bottom w:val="none" w:sz="0" w:space="0" w:color="auto"/>
            <w:right w:val="none" w:sz="0" w:space="0" w:color="auto"/>
          </w:divBdr>
        </w:div>
      </w:divsChild>
    </w:div>
    <w:div w:id="1960069126">
      <w:bodyDiv w:val="1"/>
      <w:marLeft w:val="0"/>
      <w:marRight w:val="0"/>
      <w:marTop w:val="0"/>
      <w:marBottom w:val="0"/>
      <w:divBdr>
        <w:top w:val="none" w:sz="0" w:space="0" w:color="auto"/>
        <w:left w:val="none" w:sz="0" w:space="0" w:color="auto"/>
        <w:bottom w:val="none" w:sz="0" w:space="0" w:color="auto"/>
        <w:right w:val="none" w:sz="0" w:space="0" w:color="auto"/>
      </w:divBdr>
    </w:div>
    <w:div w:id="2039349580">
      <w:bodyDiv w:val="1"/>
      <w:marLeft w:val="0"/>
      <w:marRight w:val="0"/>
      <w:marTop w:val="0"/>
      <w:marBottom w:val="0"/>
      <w:divBdr>
        <w:top w:val="none" w:sz="0" w:space="0" w:color="auto"/>
        <w:left w:val="none" w:sz="0" w:space="0" w:color="auto"/>
        <w:bottom w:val="none" w:sz="0" w:space="0" w:color="auto"/>
        <w:right w:val="none" w:sz="0" w:space="0" w:color="auto"/>
      </w:divBdr>
    </w:div>
    <w:div w:id="2042124914">
      <w:bodyDiv w:val="1"/>
      <w:marLeft w:val="0"/>
      <w:marRight w:val="0"/>
      <w:marTop w:val="0"/>
      <w:marBottom w:val="0"/>
      <w:divBdr>
        <w:top w:val="none" w:sz="0" w:space="0" w:color="auto"/>
        <w:left w:val="none" w:sz="0" w:space="0" w:color="auto"/>
        <w:bottom w:val="none" w:sz="0" w:space="0" w:color="auto"/>
        <w:right w:val="none" w:sz="0" w:space="0" w:color="auto"/>
      </w:divBdr>
      <w:divsChild>
        <w:div w:id="1157382538">
          <w:marLeft w:val="0"/>
          <w:marRight w:val="0"/>
          <w:marTop w:val="0"/>
          <w:marBottom w:val="0"/>
          <w:divBdr>
            <w:top w:val="none" w:sz="0" w:space="0" w:color="auto"/>
            <w:left w:val="none" w:sz="0" w:space="0" w:color="auto"/>
            <w:bottom w:val="none" w:sz="0" w:space="0" w:color="auto"/>
            <w:right w:val="none" w:sz="0" w:space="0" w:color="auto"/>
          </w:divBdr>
        </w:div>
        <w:div w:id="1312833125">
          <w:marLeft w:val="0"/>
          <w:marRight w:val="0"/>
          <w:marTop w:val="0"/>
          <w:marBottom w:val="0"/>
          <w:divBdr>
            <w:top w:val="none" w:sz="0" w:space="0" w:color="auto"/>
            <w:left w:val="none" w:sz="0" w:space="0" w:color="auto"/>
            <w:bottom w:val="none" w:sz="0" w:space="0" w:color="auto"/>
            <w:right w:val="none" w:sz="0" w:space="0" w:color="auto"/>
          </w:divBdr>
        </w:div>
        <w:div w:id="1451167430">
          <w:marLeft w:val="0"/>
          <w:marRight w:val="0"/>
          <w:marTop w:val="0"/>
          <w:marBottom w:val="0"/>
          <w:divBdr>
            <w:top w:val="none" w:sz="0" w:space="0" w:color="auto"/>
            <w:left w:val="none" w:sz="0" w:space="0" w:color="auto"/>
            <w:bottom w:val="none" w:sz="0" w:space="0" w:color="auto"/>
            <w:right w:val="none" w:sz="0" w:space="0" w:color="auto"/>
          </w:divBdr>
        </w:div>
        <w:div w:id="1760910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microsoft.com/office/2007/relationships/hdphoto" Target="media/hdphoto1.wdp"/><Relationship Id="rId26" Type="http://schemas.openxmlformats.org/officeDocument/2006/relationships/hyperlink" Target="https://www.qld.gov.au/__data/assets/pdf_file/0029/259148/Annual-report-requirements-for-Queensland-Government-agencies-for-the-2023-24-reporting-period.pdf" TargetMode="External"/><Relationship Id="rId39" Type="http://schemas.openxmlformats.org/officeDocument/2006/relationships/hyperlink" Target="https://www.qld.gov.au/__data/assets/pdf_file/0025/39481/remuneration-procedures.pdf" TargetMode="External"/><Relationship Id="rId21" Type="http://schemas.openxmlformats.org/officeDocument/2006/relationships/image" Target="media/image3.png"/><Relationship Id="rId34" Type="http://schemas.openxmlformats.org/officeDocument/2006/relationships/hyperlink" Target="https://www.worksafe.qld.gov.au/about/who-we-are/workcover-queensland/diversity,-inclusion-and-belonging" TargetMode="External"/><Relationship Id="rId42" Type="http://schemas.openxmlformats.org/officeDocument/2006/relationships/hyperlink" Target="%20accountability%20and%20performance%20(https://s3.treasury.qld.gov.au/files/Audit-Committee-Guidelines.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qld.gov.au/view/html/inforce/current/act-2009-009" TargetMode="External"/><Relationship Id="rId29" Type="http://schemas.openxmlformats.org/officeDocument/2006/relationships/hyperlink" Target="https://researchmgt.monash.edu/ws/portalfiles/portal/277538372/277538267.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legislation.qld.gov.au/view/html/inforce/current/act-2009-009" TargetMode="External"/><Relationship Id="rId32" Type="http://schemas.openxmlformats.org/officeDocument/2006/relationships/hyperlink" Target="https://www.youtube.com" TargetMode="External"/><Relationship Id="rId37" Type="http://schemas.openxmlformats.org/officeDocument/2006/relationships/hyperlink" Target="https://www.qld.gov.au/__data/assets/pdf_file/0025/39481/remuneration-procedures.pdf" TargetMode="External"/><Relationship Id="rId40" Type="http://schemas.openxmlformats.org/officeDocument/2006/relationships/hyperlink" Target="https://www.qld.gov.au/__data/assets/pdf_file/0025/39481/remuneration-procedures.pdf" TargetMode="External"/><Relationship Id="rId45"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legislation.qld.gov.au/view/html/inforce/current/act-2003-027" TargetMode="External"/><Relationship Id="rId23" Type="http://schemas.openxmlformats.org/officeDocument/2006/relationships/hyperlink" Target="https://www.legislation.qld.gov.au/view/html/inforce/current/act-2003-027" TargetMode="External"/><Relationship Id="rId28" Type="http://schemas.openxmlformats.org/officeDocument/2006/relationships/hyperlink" Target="https://www.worksafe.qld.gov.au/__data/assets/pdf_file/0025/116098/WorkCover-Queensland-Corporate-Plan-2023-2027.pdf" TargetMode="External"/><Relationship Id="rId36" Type="http://schemas.openxmlformats.org/officeDocument/2006/relationships/hyperlink" Target="website%20(https://www.worksafe.qld.gov.au/about/who-we-are/workcover-queensland/board-of-directors/board-charter)." TargetMode="External"/><Relationship Id="rId10" Type="http://schemas.openxmlformats.org/officeDocument/2006/relationships/endnotes" Target="endnotes.xml"/><Relationship Id="rId19" Type="http://schemas.openxmlformats.org/officeDocument/2006/relationships/hyperlink" Target="https://www.worksafe.qld.gov.au/resources/publications/annual-reports" TargetMode="External"/><Relationship Id="rId31" Type="http://schemas.openxmlformats.org/officeDocument/2006/relationships/hyperlink" Target="https://youtube.com/playlist?list=PLiOclcBIZRBeNcueykFAAi-47t4TlXimj&amp;si=_59JbU37VsastR9r"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creativecommons.org/licenses/by/4.0/" TargetMode="External"/><Relationship Id="rId27" Type="http://schemas.openxmlformats.org/officeDocument/2006/relationships/hyperlink" Target="https://www.worksafe.qld.gov.au/__data/assets/pdf_file/0009/116100/Statement-of-Corporate-Intent-2023-2024.pdf" TargetMode="External"/><Relationship Id="rId30" Type="http://schemas.openxmlformats.org/officeDocument/2006/relationships/hyperlink" Target="https://www.legislation.qld.gov.au/view/pdf/asmade/sl-2019-0182" TargetMode="External"/><Relationship Id="rId35" Type="http://schemas.openxmlformats.org/officeDocument/2006/relationships/image" Target="media/image4.png"/><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https://www.legislation.qld.gov.au/view/pdf/asmade/sl-2019-0182" TargetMode="External"/><Relationship Id="rId33" Type="http://schemas.openxmlformats.org/officeDocument/2006/relationships/hyperlink" Target="https://www.racp.edu.au/policy-and-advocacy/division-faculty-and-chapter-priorities/faculty-of-occupational-environmental-medicine/it-pays-to-care" TargetMode="External"/><Relationship Id="rId38" Type="http://schemas.openxmlformats.org/officeDocument/2006/relationships/hyperlink" Target="https://www.worksafe" TargetMode="External"/><Relationship Id="rId20" Type="http://schemas.openxmlformats.org/officeDocument/2006/relationships/hyperlink" Target="mailto:communications@workcoverqld.com.au" TargetMode="External"/><Relationship Id="rId41" Type="http://schemas.openxmlformats.org/officeDocument/2006/relationships/hyperlink" Target="https://s3.treasury.qld.gov.au/files/Audit-Committee-Guidelines-July-2020-.pdf" TargetMode="External"/></Relationships>
</file>

<file path=word/documenttasks/documenttasks1.xml><?xml version="1.0" encoding="utf-8"?>
<t:Tasks xmlns:t="http://schemas.microsoft.com/office/tasks/2019/documenttasks" xmlns:oel="http://schemas.microsoft.com/office/2019/extlst">
  <t:Task id="{D156E971-FA41-4861-BD0D-C850CE2E54C7}">
    <t:Anchor>
      <t:Comment id="1791045892"/>
    </t:Anchor>
    <t:History>
      <t:Event id="{B9A54B41-55F0-4EE1-AEDD-E557B3F27E70}" time="2024-08-12T22:17:05.868Z">
        <t:Attribution userId="S::jordan.christison@workcoverqld.com.au::2e3946b6-a8e2-4273-b89a-8be6ecac5452" userProvider="AD" userName="Jordan Christison"/>
        <t:Anchor>
          <t:Comment id="102293309"/>
        </t:Anchor>
        <t:Create/>
      </t:Event>
      <t:Event id="{209A1897-C269-4BB8-B547-14B803F7E4AD}" time="2024-08-12T22:17:05.868Z">
        <t:Attribution userId="S::jordan.christison@workcoverqld.com.au::2e3946b6-a8e2-4273-b89a-8be6ecac5452" userProvider="AD" userName="Jordan Christison"/>
        <t:Anchor>
          <t:Comment id="102293309"/>
        </t:Anchor>
        <t:Assign userId="S::shireen.armstrong@workcoverqld.com.au::c2774641-ddd6-4ba8-a94f-517e37851387" userProvider="AD" userName="Shireen Armstrong"/>
      </t:Event>
      <t:Event id="{C0F0423D-C00F-46F4-AFEA-9E118695AE9B}" time="2024-08-12T22:17:05.868Z">
        <t:Attribution userId="S::jordan.christison@workcoverqld.com.au::2e3946b6-a8e2-4273-b89a-8be6ecac5452" userProvider="AD" userName="Jordan Christison"/>
        <t:Anchor>
          <t:Comment id="102293309"/>
        </t:Anchor>
        <t:SetTitle title="@Shireen Armstrong can you confirm? "/>
      </t:Event>
      <t:Event id="{CCEACB90-9932-4026-A28D-1289C262829C}" time="2024-08-12T22:52:17.996Z">
        <t:Attribution userId="S::shireen.armstrong@workcoverqld.com.au::c2774641-ddd6-4ba8-a94f-517e37851387" userProvider="AD" userName="Shireen Armstrong"/>
        <t:Anchor>
          <t:Comment id="1214218135"/>
        </t:Anchor>
        <t:UnassignAll/>
      </t:Event>
      <t:Event id="{1208CCAE-F335-42BD-B5C6-12FCAB05B3F4}" time="2024-08-12T22:52:17.996Z">
        <t:Attribution userId="S::shireen.armstrong@workcoverqld.com.au::c2774641-ddd6-4ba8-a94f-517e37851387" userProvider="AD" userName="Shireen Armstrong"/>
        <t:Anchor>
          <t:Comment id="1214218135"/>
        </t:Anchor>
        <t:Assign userId="S::jordan.christison@workcoverqld.com.au::2e3946b6-a8e2-4273-b89a-8be6ecac5452" userProvider="AD" userName="Jordan Christis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b55185bc7d8312572a66c2c34721c9 xmlns="http://schemas.microsoft.com/sharepoint/v3">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20e8035e-7164-430f-b396-070c739fc7cf</TermId>
        </TermInfo>
      </Terms>
    </ab55185bc7d8312572a66c2c34721c9>
    <b12b291cb2d426109b2aa21c1a372a31 xmlns="http://schemas.microsoft.com/sharepoint/v3">
      <Terms xmlns="http://schemas.microsoft.com/office/infopath/2007/PartnerControls"/>
    </b12b291cb2d426109b2aa21c1a372a31>
    <a23f181bc9d5512572366c2c3371aca xmlns="http://schemas.microsoft.com/sharepoint/v3">
      <Terms xmlns="http://schemas.microsoft.com/office/infopath/2007/PartnerControls"/>
    </a23f181bc9d5512572366c2c3371aca>
    <TaxCatchAll xmlns="2b3f1a3a-6038-4650-b844-f8fc9d740002">
      <Value>1</Value>
    </TaxCatchAll>
    <SharedWithUsers xmlns="2b3f1a3a-6038-4650-b844-f8fc9d740002">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SDG Document" ma:contentTypeID="0x010100A4AB06A26A6A52411D33DAE44C82815400BFB2F8D463654A45B95B13F0B06A685C" ma:contentTypeVersion="18" ma:contentTypeDescription="Create an SDG document" ma:contentTypeScope="" ma:versionID="dae724154fc58c6f0679ae95718cc353">
  <xsd:schema xmlns:xsd="http://www.w3.org/2001/XMLSchema" xmlns:xs="http://www.w3.org/2001/XMLSchema" xmlns:p="http://schemas.microsoft.com/office/2006/metadata/properties" xmlns:ns1="http://schemas.microsoft.com/sharepoint/v3" xmlns:ns2="2b3f1a3a-6038-4650-b844-f8fc9d740002" xmlns:ns3="21ef042d-9869-4f1d-bcff-dba2aaabeb06" targetNamespace="http://schemas.microsoft.com/office/2006/metadata/properties" ma:root="true" ma:fieldsID="aff3472f93d21c6d2081954a51d57e0e" ns1:_="" ns2:_="" ns3:_="">
    <xsd:import namespace="http://schemas.microsoft.com/sharepoint/v3"/>
    <xsd:import namespace="2b3f1a3a-6038-4650-b844-f8fc9d740002"/>
    <xsd:import namespace="21ef042d-9869-4f1d-bcff-dba2aaabeb06"/>
    <xsd:element name="properties">
      <xsd:complexType>
        <xsd:sequence>
          <xsd:element name="documentManagement">
            <xsd:complexType>
              <xsd:all>
                <xsd:element ref="ns1:ab55185bc7d8312572a66c2c34721c9" minOccurs="0"/>
                <xsd:element ref="ns2:TaxCatchAll" minOccurs="0"/>
                <xsd:element ref="ns2:TaxCatchAllLabel" minOccurs="0"/>
                <xsd:element ref="ns1:b12b291cb2d426109b2aa21c1a372a31" minOccurs="0"/>
                <xsd:element ref="ns1:a23f181bc9d5512572366c2c3371aca"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b55185bc7d8312572a66c2c34721c9" ma:index="8" nillable="true" ma:taxonomy="true" ma:internalName="ab55185bc7d8312572a66c2c34721c9" ma:taxonomyFieldName="wcq_organisation" ma:displayName="Organisation" ma:default="1;#Communications|20e8035e-7164-430f-b396-070c739fc7cf" ma:fieldId="{8178ac8c-ecbc-4bb6-81ba-5056cd867d6c}" ma:sspId="efd61f80-93db-41ad-98ea-63cb614f32f7" ma:termSetId="05a32b60-9cb0-4806-bbf6-2676e060ac91" ma:anchorId="00000000-0000-0000-0000-000000000000" ma:open="true" ma:isKeyword="false">
      <xsd:complexType>
        <xsd:sequence>
          <xsd:element ref="pc:Terms" minOccurs="0" maxOccurs="1"/>
        </xsd:sequence>
      </xsd:complexType>
    </xsd:element>
    <xsd:element name="b12b291cb2d426109b2aa21c1a372a31" ma:index="12" nillable="true" ma:taxonomy="true" ma:internalName="b12b291cb2d426109b2aa21c1a372a31" ma:taxonomyFieldName="wcq_sdgdocumenttype" ma:displayName="Document Type" ma:default="" ma:fieldId="{213c129e-37e1-4027-8908-b9752273d621}" ma:sspId="efd61f80-93db-41ad-98ea-63cb614f32f7" ma:termSetId="1f3820e6-ad32-4f04-9fca-2e9136995421" ma:anchorId="00000000-0000-0000-0000-000000000000" ma:open="false" ma:isKeyword="false">
      <xsd:complexType>
        <xsd:sequence>
          <xsd:element ref="pc:Terms" minOccurs="0" maxOccurs="1"/>
        </xsd:sequence>
      </xsd:complexType>
    </xsd:element>
    <xsd:element name="a23f181bc9d5512572366c2c3371aca" ma:index="14" nillable="true" ma:taxonomy="true" ma:internalName="a23f181bc9d5512572366c2c3371aca" ma:taxonomyFieldName="wcq_sdgtopics" ma:displayName="Topics" ma:default="" ma:fieldId="{a9b503fa-5ce9-4b6e-bacc-7d90dda01212}" ma:taxonomyMulti="true" ma:sspId="efd61f80-93db-41ad-98ea-63cb614f32f7" ma:termSetId="23f38ae9-f0bd-4afc-9175-48d9345abfe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3f1a3a-6038-4650-b844-f8fc9d740002"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04b3142-6ff0-4c9c-a7ad-f2d6f1779c0c}" ma:internalName="TaxCatchAll" ma:showField="CatchAllData" ma:web="2b3f1a3a-6038-4650-b844-f8fc9d74000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04b3142-6ff0-4c9c-a7ad-f2d6f1779c0c}" ma:internalName="TaxCatchAllLabel" ma:readOnly="true" ma:showField="CatchAllDataLabel" ma:web="2b3f1a3a-6038-4650-b844-f8fc9d740002">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f042d-9869-4f1d-bcff-dba2aaabeb06"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A5DC1-02A4-4E77-BDA5-8F37856CFB77}">
  <ds:schemaRefs>
    <ds:schemaRef ds:uri="http://schemas.microsoft.com/office/2006/metadata/properties"/>
    <ds:schemaRef ds:uri="http://schemas.microsoft.com/office/infopath/2007/PartnerControls"/>
    <ds:schemaRef ds:uri="http://schemas.microsoft.com/sharepoint/v3"/>
    <ds:schemaRef ds:uri="2b3f1a3a-6038-4650-b844-f8fc9d740002"/>
  </ds:schemaRefs>
</ds:datastoreItem>
</file>

<file path=customXml/itemProps2.xml><?xml version="1.0" encoding="utf-8"?>
<ds:datastoreItem xmlns:ds="http://schemas.openxmlformats.org/officeDocument/2006/customXml" ds:itemID="{F6528FD2-DD2E-4EF9-87B9-505E5AB95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3f1a3a-6038-4650-b844-f8fc9d740002"/>
    <ds:schemaRef ds:uri="21ef042d-9869-4f1d-bcff-dba2aaabe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2B0DC-7A8E-4246-B2ED-DE728C562269}">
  <ds:schemaRefs>
    <ds:schemaRef ds:uri="http://schemas.microsoft.com/sharepoint/v3/contenttype/forms"/>
  </ds:schemaRefs>
</ds:datastoreItem>
</file>

<file path=customXml/itemProps4.xml><?xml version="1.0" encoding="utf-8"?>
<ds:datastoreItem xmlns:ds="http://schemas.openxmlformats.org/officeDocument/2006/customXml" ds:itemID="{2D5246C3-20A6-410E-B7D4-D01767A46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46</Pages>
  <Words>15111</Words>
  <Characters>86137</Characters>
  <Application>Microsoft Office Word</Application>
  <DocSecurity>0</DocSecurity>
  <Lines>717</Lines>
  <Paragraphs>202</Paragraphs>
  <ScaleCrop>false</ScaleCrop>
  <Company/>
  <LinksUpToDate>false</LinksUpToDate>
  <CharactersWithSpaces>101046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Christison</dc:creator>
  <cp:keywords/>
  <dc:description/>
  <cp:lastModifiedBy>Amanda Edwards-Dixon</cp:lastModifiedBy>
  <cp:revision>5</cp:revision>
  <dcterms:created xsi:type="dcterms:W3CDTF">2024-09-12T02:00:00Z</dcterms:created>
  <dcterms:modified xsi:type="dcterms:W3CDTF">2024-09-12T02:07:00Z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0x010100A4AB06A26A6A52411D33DAE44C82815400BFB2F8D463654A45B95B13F0B06A685C</vt:lpwstr>
  </property>
  <property fmtid="{D5CDD505-2E9C-101B-9397-08002B2CF9AE}" pid="3" name="wcq_organisation">
    <vt:lpwstr>1;#Communications|20e8035e-7164-430f-b396-070c739fc7cf</vt:lpwstr>
  </property>
  <property fmtid="{D5CDD505-2E9C-101B-9397-08002B2CF9AE}" pid="4" name="wcq_sdgtopics">
    <vt:lpwstr/>
  </property>
  <property fmtid="{D5CDD505-2E9C-101B-9397-08002B2CF9AE}" pid="5" name="wcq_sdgdocumenttype">
    <vt:lpwstr/>
  </property>
</Properties>
</file>